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00007" w14:textId="240D1FD0" w:rsidR="00542633" w:rsidRPr="00542633" w:rsidRDefault="00542633" w:rsidP="00542633">
      <w:pPr>
        <w:pStyle w:val="Heading1"/>
        <w:rPr>
          <w:rStyle w:val="Strong"/>
        </w:rPr>
      </w:pPr>
      <w:r w:rsidRPr="00542633">
        <w:rPr>
          <w:rStyle w:val="Strong"/>
        </w:rPr>
        <w:t xml:space="preserve">Assessment of the responses received for Estonian and Latvian Transmission System Operators’ Public Consultation on </w:t>
      </w:r>
      <w:hyperlink r:id="rId11" w:anchor="accordion0" w:history="1">
        <w:r w:rsidRPr="00542633">
          <w:rPr>
            <w:rStyle w:val="Strong"/>
          </w:rPr>
          <w:t>the Network rules of the Common Balancing Zone of Estonia and Latvia</w:t>
        </w:r>
      </w:hyperlink>
    </w:p>
    <w:p w14:paraId="6EDF3E86" w14:textId="77777777" w:rsidR="00107D6F" w:rsidRPr="008B1593" w:rsidRDefault="00107D6F" w:rsidP="00DF7D57">
      <w:pPr>
        <w:tabs>
          <w:tab w:val="left" w:pos="6570"/>
        </w:tabs>
        <w:jc w:val="both"/>
        <w:rPr>
          <w:rFonts w:eastAsia="Times New Roman"/>
          <w:sz w:val="20"/>
          <w:szCs w:val="20"/>
          <w:lang w:val="en-US"/>
        </w:rPr>
      </w:pPr>
    </w:p>
    <w:tbl>
      <w:tblPr>
        <w:tblStyle w:val="TableGrid"/>
        <w:tblpPr w:leftFromText="180" w:rightFromText="180" w:vertAnchor="text" w:tblpY="1"/>
        <w:tblW w:w="0" w:type="auto"/>
        <w:tblLook w:val="01E0" w:firstRow="1" w:lastRow="1" w:firstColumn="1" w:lastColumn="1" w:noHBand="0" w:noVBand="0"/>
      </w:tblPr>
      <w:tblGrid>
        <w:gridCol w:w="2830"/>
        <w:gridCol w:w="6521"/>
        <w:gridCol w:w="6343"/>
      </w:tblGrid>
      <w:tr w:rsidR="00542633" w:rsidRPr="008B1593" w14:paraId="5EA55F61" w14:textId="77777777" w:rsidTr="00795AD6">
        <w:trPr>
          <w:trHeight w:val="72"/>
        </w:trPr>
        <w:tc>
          <w:tcPr>
            <w:tcW w:w="2830" w:type="dxa"/>
          </w:tcPr>
          <w:p w14:paraId="056E8322" w14:textId="77777777" w:rsidR="00542633" w:rsidRPr="008B1593" w:rsidRDefault="00542633" w:rsidP="00244020">
            <w:pPr>
              <w:jc w:val="center"/>
              <w:rPr>
                <w:b/>
                <w:sz w:val="20"/>
                <w:szCs w:val="20"/>
                <w:lang w:val="en-US"/>
              </w:rPr>
            </w:pPr>
            <w:r w:rsidRPr="008B1593">
              <w:rPr>
                <w:b/>
                <w:sz w:val="20"/>
                <w:szCs w:val="20"/>
                <w:lang w:val="en-US"/>
              </w:rPr>
              <w:t>Provision of the Rules / Topic</w:t>
            </w:r>
          </w:p>
        </w:tc>
        <w:tc>
          <w:tcPr>
            <w:tcW w:w="6521" w:type="dxa"/>
          </w:tcPr>
          <w:p w14:paraId="7BA96AEB" w14:textId="77777777" w:rsidR="00542633" w:rsidRPr="008B1593" w:rsidRDefault="00542633" w:rsidP="00244020">
            <w:pPr>
              <w:ind w:left="34"/>
              <w:jc w:val="center"/>
              <w:rPr>
                <w:sz w:val="20"/>
                <w:szCs w:val="20"/>
                <w:lang w:val="en-US"/>
              </w:rPr>
            </w:pPr>
            <w:r w:rsidRPr="008B1593">
              <w:rPr>
                <w:b/>
                <w:sz w:val="20"/>
                <w:szCs w:val="20"/>
                <w:lang w:val="en-US"/>
              </w:rPr>
              <w:t>Comment and (or) proposal</w:t>
            </w:r>
          </w:p>
        </w:tc>
        <w:tc>
          <w:tcPr>
            <w:tcW w:w="6343" w:type="dxa"/>
          </w:tcPr>
          <w:p w14:paraId="2D77A2B9" w14:textId="1A902DE0" w:rsidR="00542633" w:rsidRPr="00EF5298" w:rsidRDefault="00542633" w:rsidP="00244020">
            <w:pPr>
              <w:ind w:left="34"/>
              <w:jc w:val="center"/>
              <w:rPr>
                <w:b/>
                <w:sz w:val="20"/>
                <w:szCs w:val="20"/>
                <w:lang w:val="en-US"/>
              </w:rPr>
            </w:pPr>
            <w:r w:rsidRPr="00EF5298">
              <w:rPr>
                <w:b/>
                <w:sz w:val="20"/>
                <w:szCs w:val="20"/>
                <w:lang w:val="en-US"/>
              </w:rPr>
              <w:t>TSOs</w:t>
            </w:r>
            <w:r w:rsidR="00795AD6">
              <w:rPr>
                <w:b/>
                <w:sz w:val="20"/>
                <w:szCs w:val="20"/>
                <w:lang w:val="en-US"/>
              </w:rPr>
              <w:t>’</w:t>
            </w:r>
            <w:r w:rsidRPr="00EF5298">
              <w:rPr>
                <w:b/>
                <w:sz w:val="20"/>
                <w:szCs w:val="20"/>
                <w:lang w:val="en-US"/>
              </w:rPr>
              <w:t xml:space="preserve"> Comments</w:t>
            </w:r>
          </w:p>
        </w:tc>
      </w:tr>
      <w:tr w:rsidR="00542633" w:rsidRPr="008B1593" w14:paraId="64033E3A" w14:textId="77777777" w:rsidTr="00795AD6">
        <w:trPr>
          <w:trHeight w:val="659"/>
        </w:trPr>
        <w:tc>
          <w:tcPr>
            <w:tcW w:w="2830" w:type="dxa"/>
          </w:tcPr>
          <w:p w14:paraId="0948F96A" w14:textId="77777777" w:rsidR="00542633" w:rsidRPr="00543509" w:rsidRDefault="00542633" w:rsidP="00DF7D57">
            <w:pPr>
              <w:suppressAutoHyphens/>
              <w:jc w:val="both"/>
              <w:textAlignment w:val="baseline"/>
              <w:rPr>
                <w:sz w:val="20"/>
                <w:szCs w:val="20"/>
              </w:rPr>
            </w:pPr>
            <w:r w:rsidRPr="008B1593">
              <w:rPr>
                <w:sz w:val="20"/>
                <w:szCs w:val="20"/>
                <w:lang w:val="en-US"/>
              </w:rPr>
              <w:t>General comment</w:t>
            </w:r>
            <w:r>
              <w:rPr>
                <w:sz w:val="20"/>
                <w:szCs w:val="20"/>
                <w:lang w:val="en-US"/>
              </w:rPr>
              <w:t xml:space="preserve"> related with planned infrastructure</w:t>
            </w:r>
          </w:p>
        </w:tc>
        <w:tc>
          <w:tcPr>
            <w:tcW w:w="6521" w:type="dxa"/>
          </w:tcPr>
          <w:p w14:paraId="4F94FD92" w14:textId="21E91AA7" w:rsidR="00542633" w:rsidRPr="008B1593" w:rsidRDefault="00B83638" w:rsidP="00DF7D57">
            <w:pPr>
              <w:pStyle w:val="CommentText"/>
              <w:jc w:val="both"/>
              <w:rPr>
                <w:lang w:val="en-US"/>
              </w:rPr>
            </w:pPr>
            <w:r>
              <w:rPr>
                <w:b/>
                <w:lang w:val="en-US"/>
              </w:rPr>
              <w:t>Stakeholder 1</w:t>
            </w:r>
            <w:r w:rsidR="00542633">
              <w:rPr>
                <w:b/>
                <w:lang w:val="en-US"/>
              </w:rPr>
              <w:t>:</w:t>
            </w:r>
            <w:r w:rsidR="00542633" w:rsidRPr="008B1593">
              <w:rPr>
                <w:b/>
                <w:lang w:val="en-US"/>
              </w:rPr>
              <w:t xml:space="preserve"> </w:t>
            </w:r>
            <w:r w:rsidR="00542633" w:rsidRPr="008B1593">
              <w:rPr>
                <w:lang w:val="en-US"/>
              </w:rPr>
              <w:t>Rules should lay a playing field for various kinds of infrastructure and set non-discriminatory rules for it, even for infrastructure which is currently non-existent and future planned infrastructure. We suggest defining terms and conditions which relates with LNG system operators (hereinafter </w:t>
            </w:r>
            <w:r w:rsidR="00542633" w:rsidRPr="008B1593">
              <w:rPr>
                <w:b/>
                <w:lang w:val="en-US" w:eastAsia="lt-LT"/>
              </w:rPr>
              <w:t xml:space="preserve">– </w:t>
            </w:r>
            <w:r w:rsidR="00542633" w:rsidRPr="008B1593">
              <w:rPr>
                <w:lang w:val="en-US"/>
              </w:rPr>
              <w:t>LNG SO) and biogas production in this document. This would ensure regulatory stability, transparency and does not harm legitimate market participants expectations.</w:t>
            </w:r>
          </w:p>
        </w:tc>
        <w:tc>
          <w:tcPr>
            <w:tcW w:w="6343" w:type="dxa"/>
          </w:tcPr>
          <w:p w14:paraId="21D0AE5F" w14:textId="77777777" w:rsidR="00542633" w:rsidRPr="00EF5298" w:rsidRDefault="00542633" w:rsidP="003F0D43">
            <w:pPr>
              <w:pStyle w:val="CommentText"/>
              <w:jc w:val="both"/>
              <w:rPr>
                <w:lang w:val="en-US"/>
              </w:rPr>
            </w:pPr>
            <w:r w:rsidRPr="00EF5298">
              <w:rPr>
                <w:lang w:val="en-US"/>
              </w:rPr>
              <w:t xml:space="preserve">Proposal </w:t>
            </w:r>
            <w:r>
              <w:rPr>
                <w:lang w:val="en-US"/>
              </w:rPr>
              <w:t>will be taken into account</w:t>
            </w:r>
            <w:r w:rsidRPr="00EF5298">
              <w:rPr>
                <w:lang w:val="en-US"/>
              </w:rPr>
              <w:t>.</w:t>
            </w:r>
            <w:r>
              <w:rPr>
                <w:lang w:val="en-US"/>
              </w:rPr>
              <w:t xml:space="preserve"> LNG entry point and the definition of “production” will be added to the rules.</w:t>
            </w:r>
          </w:p>
        </w:tc>
      </w:tr>
      <w:tr w:rsidR="00542633" w:rsidRPr="008B1593" w14:paraId="1B0EE0F7" w14:textId="77777777" w:rsidTr="00795AD6">
        <w:trPr>
          <w:trHeight w:val="659"/>
        </w:trPr>
        <w:tc>
          <w:tcPr>
            <w:tcW w:w="2830" w:type="dxa"/>
          </w:tcPr>
          <w:p w14:paraId="6B771361" w14:textId="77777777" w:rsidR="00542633" w:rsidRPr="008B1593" w:rsidRDefault="00542633" w:rsidP="00DF7D57">
            <w:pPr>
              <w:suppressAutoHyphens/>
              <w:jc w:val="both"/>
              <w:textAlignment w:val="baseline"/>
              <w:rPr>
                <w:sz w:val="20"/>
                <w:szCs w:val="20"/>
                <w:lang w:val="en-US"/>
              </w:rPr>
            </w:pPr>
            <w:r w:rsidRPr="008B1593">
              <w:rPr>
                <w:sz w:val="20"/>
                <w:szCs w:val="20"/>
                <w:lang w:val="en-US"/>
              </w:rPr>
              <w:t>General comment</w:t>
            </w:r>
            <w:r>
              <w:rPr>
                <w:sz w:val="20"/>
                <w:szCs w:val="20"/>
                <w:lang w:val="en-US"/>
              </w:rPr>
              <w:t xml:space="preserve"> related with Annexes of the Rules</w:t>
            </w:r>
          </w:p>
        </w:tc>
        <w:tc>
          <w:tcPr>
            <w:tcW w:w="6521" w:type="dxa"/>
          </w:tcPr>
          <w:p w14:paraId="522F680C" w14:textId="31DC1F1F" w:rsidR="00542633" w:rsidRPr="008B1593" w:rsidRDefault="00B83638" w:rsidP="00DF7D57">
            <w:pPr>
              <w:tabs>
                <w:tab w:val="left" w:pos="851"/>
              </w:tabs>
              <w:suppressAutoHyphens/>
              <w:ind w:left="34"/>
              <w:jc w:val="both"/>
              <w:textAlignment w:val="baseline"/>
              <w:rPr>
                <w:sz w:val="20"/>
                <w:szCs w:val="20"/>
                <w:lang w:val="en-US" w:eastAsia="lt-LT"/>
              </w:rPr>
            </w:pPr>
            <w:r>
              <w:rPr>
                <w:b/>
                <w:sz w:val="20"/>
                <w:szCs w:val="20"/>
                <w:lang w:val="en-US"/>
              </w:rPr>
              <w:t>Stakeholder 1</w:t>
            </w:r>
            <w:r w:rsidR="00542633">
              <w:rPr>
                <w:b/>
                <w:lang w:val="en-US"/>
              </w:rPr>
              <w:t>:</w:t>
            </w:r>
            <w:r w:rsidR="00542633" w:rsidRPr="008B1593">
              <w:rPr>
                <w:b/>
                <w:sz w:val="20"/>
                <w:szCs w:val="20"/>
                <w:lang w:val="en-US"/>
              </w:rPr>
              <w:t xml:space="preserve"> </w:t>
            </w:r>
            <w:r w:rsidR="00542633" w:rsidRPr="008B1593">
              <w:rPr>
                <w:sz w:val="20"/>
                <w:szCs w:val="20"/>
                <w:lang w:val="en-US" w:eastAsia="lt-LT"/>
              </w:rPr>
              <w:t>All Annexes of the Rules should be publicly consulted as well as they are considered as an integral part of the Rules. This include credit risk management rules, Annex of Exchange of Information, standard transmission agreement.</w:t>
            </w:r>
          </w:p>
        </w:tc>
        <w:tc>
          <w:tcPr>
            <w:tcW w:w="6343" w:type="dxa"/>
          </w:tcPr>
          <w:p w14:paraId="7FB77F47" w14:textId="61EAC8CF" w:rsidR="00542633" w:rsidRPr="00A22553" w:rsidRDefault="00542633" w:rsidP="00A86A6F">
            <w:pPr>
              <w:tabs>
                <w:tab w:val="left" w:pos="851"/>
              </w:tabs>
              <w:suppressAutoHyphens/>
              <w:ind w:left="34"/>
              <w:jc w:val="both"/>
              <w:textAlignment w:val="baseline"/>
              <w:rPr>
                <w:sz w:val="20"/>
                <w:szCs w:val="20"/>
                <w:lang w:val="en-US" w:eastAsia="lt-LT"/>
              </w:rPr>
            </w:pPr>
            <w:r>
              <w:rPr>
                <w:sz w:val="20"/>
                <w:szCs w:val="20"/>
                <w:lang w:val="en-US" w:eastAsia="lt-LT"/>
              </w:rPr>
              <w:t xml:space="preserve">Comment will be taken into account. </w:t>
            </w:r>
            <w:r w:rsidRPr="00EF5298">
              <w:rPr>
                <w:sz w:val="20"/>
                <w:szCs w:val="20"/>
                <w:lang w:val="en-US" w:eastAsia="lt-LT"/>
              </w:rPr>
              <w:t xml:space="preserve">Proposed </w:t>
            </w:r>
            <w:r>
              <w:rPr>
                <w:sz w:val="20"/>
                <w:szCs w:val="20"/>
                <w:lang w:val="en-US" w:eastAsia="lt-LT"/>
              </w:rPr>
              <w:t>version</w:t>
            </w:r>
            <w:r w:rsidRPr="00EF5298">
              <w:rPr>
                <w:sz w:val="20"/>
                <w:szCs w:val="20"/>
                <w:lang w:val="en-US" w:eastAsia="lt-LT"/>
              </w:rPr>
              <w:t xml:space="preserve"> of the </w:t>
            </w:r>
            <w:r>
              <w:rPr>
                <w:sz w:val="20"/>
                <w:szCs w:val="20"/>
                <w:lang w:val="en-US" w:eastAsia="lt-LT"/>
              </w:rPr>
              <w:t xml:space="preserve">network </w:t>
            </w:r>
            <w:r w:rsidRPr="00EF5298">
              <w:rPr>
                <w:sz w:val="20"/>
                <w:szCs w:val="20"/>
                <w:lang w:val="en-US" w:eastAsia="lt-LT"/>
              </w:rPr>
              <w:t>rules reflects existing</w:t>
            </w:r>
            <w:r>
              <w:rPr>
                <w:sz w:val="20"/>
                <w:szCs w:val="20"/>
                <w:lang w:val="en-US" w:eastAsia="lt-LT"/>
              </w:rPr>
              <w:t xml:space="preserve"> national</w:t>
            </w:r>
            <w:r w:rsidRPr="00EF5298">
              <w:rPr>
                <w:sz w:val="20"/>
                <w:szCs w:val="20"/>
                <w:lang w:val="en-US" w:eastAsia="lt-LT"/>
              </w:rPr>
              <w:t xml:space="preserve"> differences regarding creditworthiness, credit management and collaterals. </w:t>
            </w:r>
            <w:r>
              <w:rPr>
                <w:sz w:val="20"/>
                <w:szCs w:val="20"/>
                <w:lang w:val="en-US" w:eastAsia="lt-LT"/>
              </w:rPr>
              <w:t>In</w:t>
            </w:r>
            <w:r w:rsidRPr="00EF5298">
              <w:rPr>
                <w:sz w:val="20"/>
                <w:szCs w:val="20"/>
                <w:lang w:val="en-US" w:eastAsia="lt-LT"/>
              </w:rPr>
              <w:t xml:space="preserve"> the Estonian law </w:t>
            </w:r>
            <w:r>
              <w:rPr>
                <w:sz w:val="20"/>
                <w:szCs w:val="20"/>
                <w:lang w:val="en-US" w:eastAsia="lt-LT"/>
              </w:rPr>
              <w:t xml:space="preserve">there is no provision regarding requesting collateral. Whereas, in compliance with Article 14(3) of </w:t>
            </w:r>
            <w:r w:rsidRPr="005B0804">
              <w:rPr>
                <w:sz w:val="20"/>
                <w:szCs w:val="20"/>
                <w:lang w:val="en-US" w:eastAsia="lt-LT"/>
              </w:rPr>
              <w:t>Regulation (EC) No 715/2009 of the European Parliament and of the Council of 13 July 2009 on conditions for access to the natural gas transmission networks and repealing Regulation (EC) No 1775/2005</w:t>
            </w:r>
            <w:r>
              <w:rPr>
                <w:sz w:val="20"/>
                <w:szCs w:val="20"/>
                <w:lang w:val="en-US" w:eastAsia="lt-LT"/>
              </w:rPr>
              <w:t xml:space="preserve"> and the Rules of Use of the Natural Gas Transmission system, as approved by the Latvian national regulatory authority, the Latvian transmission system operator currently considers appropriate to require the submission of collateral. The credit risk management rules applicable to the Latvian transmission system operator and its network users, therefore, will be consulted as the </w:t>
            </w:r>
            <w:r w:rsidR="00B83638">
              <w:rPr>
                <w:sz w:val="20"/>
                <w:szCs w:val="20"/>
                <w:lang w:val="en-US" w:eastAsia="lt-LT"/>
              </w:rPr>
              <w:t>Stakeholder</w:t>
            </w:r>
            <w:r>
              <w:rPr>
                <w:sz w:val="20"/>
                <w:szCs w:val="20"/>
                <w:lang w:val="en-US" w:eastAsia="lt-LT"/>
              </w:rPr>
              <w:t>s shall ascertain that the said rules do not constitute undue market-entry barriers, are non-discriminatory, transparent and proportionate.</w:t>
            </w:r>
          </w:p>
          <w:p w14:paraId="3D9ACEB7" w14:textId="77777777" w:rsidR="00542633" w:rsidRPr="00EF5298" w:rsidRDefault="00542633" w:rsidP="00A86A6F">
            <w:pPr>
              <w:tabs>
                <w:tab w:val="left" w:pos="851"/>
              </w:tabs>
              <w:suppressAutoHyphens/>
              <w:ind w:left="34"/>
              <w:jc w:val="both"/>
              <w:textAlignment w:val="baseline"/>
              <w:rPr>
                <w:sz w:val="20"/>
                <w:szCs w:val="20"/>
                <w:lang w:val="en-US" w:eastAsia="lt-LT"/>
              </w:rPr>
            </w:pPr>
          </w:p>
          <w:p w14:paraId="76F90923" w14:textId="77777777" w:rsidR="00542633" w:rsidRDefault="00542633" w:rsidP="000079A7">
            <w:pPr>
              <w:tabs>
                <w:tab w:val="left" w:pos="851"/>
              </w:tabs>
              <w:suppressAutoHyphens/>
              <w:ind w:left="34"/>
              <w:jc w:val="both"/>
              <w:textAlignment w:val="baseline"/>
              <w:rPr>
                <w:sz w:val="20"/>
                <w:szCs w:val="20"/>
                <w:lang w:val="en-US" w:eastAsia="lt-LT"/>
              </w:rPr>
            </w:pPr>
            <w:r w:rsidRPr="00EF5298">
              <w:rPr>
                <w:sz w:val="20"/>
                <w:szCs w:val="20"/>
                <w:lang w:val="en-US" w:eastAsia="lt-LT"/>
              </w:rPr>
              <w:t>At the time of public consultation of Rules, the work on the IT requirements of Central IT system were ongoing and in TSOs view it would be misleading to consult annex still in development. As the general comment – exchange of information still will be based on EDIG@S standard, providing two ways of communication with market participants – WEB interface and option of direct communication with TSOs IT system.</w:t>
            </w:r>
            <w:r>
              <w:rPr>
                <w:sz w:val="20"/>
                <w:szCs w:val="20"/>
                <w:lang w:val="en-US" w:eastAsia="lt-LT"/>
              </w:rPr>
              <w:t xml:space="preserve"> The TSOs will elaborate in more detail the conditions for the exchange of information between the TSO and the NU.</w:t>
            </w:r>
          </w:p>
          <w:p w14:paraId="4AE06891" w14:textId="77777777" w:rsidR="00542633" w:rsidRPr="00EF5298" w:rsidRDefault="00542633" w:rsidP="000079A7">
            <w:pPr>
              <w:tabs>
                <w:tab w:val="left" w:pos="851"/>
              </w:tabs>
              <w:suppressAutoHyphens/>
              <w:ind w:left="34"/>
              <w:jc w:val="both"/>
              <w:textAlignment w:val="baseline"/>
              <w:rPr>
                <w:sz w:val="20"/>
                <w:szCs w:val="20"/>
                <w:lang w:val="en-US" w:eastAsia="lt-LT"/>
              </w:rPr>
            </w:pPr>
            <w:r>
              <w:rPr>
                <w:sz w:val="20"/>
                <w:szCs w:val="20"/>
                <w:lang w:val="en-US" w:eastAsia="lt-LT"/>
              </w:rPr>
              <w:t>It is foreseen that the network rules form an integral part of the standard transmission agreement, meaning that the standard transmission agreement is merely an accession document to the network rules and the use of transmission services in the common balancing zone.</w:t>
            </w:r>
          </w:p>
          <w:p w14:paraId="1E186F66" w14:textId="77777777" w:rsidR="00542633" w:rsidRPr="00EF5298" w:rsidRDefault="00542633" w:rsidP="000079A7">
            <w:pPr>
              <w:tabs>
                <w:tab w:val="left" w:pos="851"/>
              </w:tabs>
              <w:suppressAutoHyphens/>
              <w:ind w:left="34"/>
              <w:jc w:val="both"/>
              <w:textAlignment w:val="baseline"/>
              <w:rPr>
                <w:sz w:val="20"/>
                <w:szCs w:val="20"/>
                <w:lang w:val="en-US" w:eastAsia="lt-LT"/>
              </w:rPr>
            </w:pPr>
          </w:p>
        </w:tc>
      </w:tr>
      <w:tr w:rsidR="00542633" w:rsidRPr="008B1593" w14:paraId="1FEAB8DC" w14:textId="77777777" w:rsidTr="00795AD6">
        <w:trPr>
          <w:trHeight w:val="419"/>
        </w:trPr>
        <w:tc>
          <w:tcPr>
            <w:tcW w:w="2830" w:type="dxa"/>
          </w:tcPr>
          <w:p w14:paraId="24D91D47" w14:textId="77777777" w:rsidR="00542633" w:rsidRPr="008B1593" w:rsidRDefault="00542633" w:rsidP="00DF7D57">
            <w:pPr>
              <w:tabs>
                <w:tab w:val="left" w:pos="1276"/>
              </w:tabs>
              <w:suppressAutoHyphens/>
              <w:jc w:val="both"/>
              <w:textAlignment w:val="baseline"/>
              <w:rPr>
                <w:b/>
                <w:bCs/>
                <w:sz w:val="20"/>
                <w:szCs w:val="20"/>
                <w:lang w:val="en-US" w:eastAsia="lt-LT"/>
              </w:rPr>
            </w:pPr>
            <w:r w:rsidRPr="008B1593">
              <w:rPr>
                <w:sz w:val="20"/>
                <w:szCs w:val="20"/>
                <w:lang w:val="en-US"/>
              </w:rPr>
              <w:t>General comment</w:t>
            </w:r>
            <w:r>
              <w:rPr>
                <w:sz w:val="20"/>
                <w:szCs w:val="20"/>
                <w:lang w:val="en-US"/>
              </w:rPr>
              <w:t xml:space="preserve"> related with definitions</w:t>
            </w:r>
          </w:p>
        </w:tc>
        <w:tc>
          <w:tcPr>
            <w:tcW w:w="6521" w:type="dxa"/>
          </w:tcPr>
          <w:p w14:paraId="3844F373" w14:textId="4F84F914" w:rsidR="00542633" w:rsidRPr="008B1593" w:rsidRDefault="00B83638" w:rsidP="00DF7D57">
            <w:pPr>
              <w:tabs>
                <w:tab w:val="left" w:pos="851"/>
              </w:tabs>
              <w:suppressAutoHyphens/>
              <w:ind w:left="34"/>
              <w:jc w:val="both"/>
              <w:textAlignment w:val="baseline"/>
              <w:rPr>
                <w:sz w:val="20"/>
                <w:szCs w:val="20"/>
                <w:lang w:val="en-US" w:eastAsia="lt-LT"/>
              </w:rPr>
            </w:pPr>
            <w:r>
              <w:rPr>
                <w:b/>
                <w:sz w:val="20"/>
                <w:szCs w:val="20"/>
                <w:lang w:val="en-US"/>
              </w:rPr>
              <w:t>Stakeholder 1</w:t>
            </w:r>
            <w:r w:rsidR="00542633">
              <w:rPr>
                <w:b/>
                <w:lang w:val="en-US"/>
              </w:rPr>
              <w:t>:</w:t>
            </w:r>
            <w:r w:rsidR="00542633" w:rsidRPr="008B1593">
              <w:rPr>
                <w:b/>
                <w:sz w:val="20"/>
                <w:szCs w:val="20"/>
                <w:lang w:val="en-US"/>
              </w:rPr>
              <w:t xml:space="preserve"> </w:t>
            </w:r>
            <w:r w:rsidR="00542633" w:rsidRPr="008B1593">
              <w:rPr>
                <w:sz w:val="20"/>
                <w:szCs w:val="20"/>
                <w:lang w:val="en-US" w:eastAsia="lt-LT"/>
              </w:rPr>
              <w:t xml:space="preserve">Concepts which are named as the definitions in the definitions section 2 is not consistently used within the document also, their names are not used consistently as well. Names changes throughout the document. We ask to use only one definition to describe the same concept in order to prevent </w:t>
            </w:r>
            <w:r w:rsidR="00542633" w:rsidRPr="008B1593">
              <w:rPr>
                <w:sz w:val="20"/>
                <w:szCs w:val="20"/>
                <w:lang w:val="en-US" w:eastAsia="lt-LT"/>
              </w:rPr>
              <w:lastRenderedPageBreak/>
              <w:t>misinterpretations and legal uncertainties. Please adjust the terminology used in all document. Also, we encourage to use same sentence structures as used in applicable EU natural gas legislation.</w:t>
            </w:r>
          </w:p>
        </w:tc>
        <w:tc>
          <w:tcPr>
            <w:tcW w:w="6343" w:type="dxa"/>
          </w:tcPr>
          <w:p w14:paraId="483C67A1" w14:textId="77777777" w:rsidR="00542633" w:rsidRPr="00EF5298" w:rsidRDefault="00542633" w:rsidP="00677F95">
            <w:pPr>
              <w:tabs>
                <w:tab w:val="left" w:pos="851"/>
              </w:tabs>
              <w:suppressAutoHyphens/>
              <w:ind w:left="34"/>
              <w:jc w:val="both"/>
              <w:textAlignment w:val="baseline"/>
              <w:rPr>
                <w:sz w:val="20"/>
                <w:szCs w:val="20"/>
                <w:lang w:val="en-US" w:eastAsia="lt-LT"/>
              </w:rPr>
            </w:pPr>
            <w:r>
              <w:rPr>
                <w:sz w:val="20"/>
                <w:szCs w:val="20"/>
                <w:lang w:val="en-US" w:eastAsia="lt-LT"/>
              </w:rPr>
              <w:lastRenderedPageBreak/>
              <w:t>Proposal</w:t>
            </w:r>
            <w:r w:rsidRPr="00EF5298">
              <w:rPr>
                <w:sz w:val="20"/>
                <w:szCs w:val="20"/>
                <w:lang w:val="en-US" w:eastAsia="lt-LT"/>
              </w:rPr>
              <w:t xml:space="preserve"> </w:t>
            </w:r>
            <w:r>
              <w:rPr>
                <w:sz w:val="20"/>
                <w:szCs w:val="20"/>
                <w:lang w:val="en-US" w:eastAsia="lt-LT"/>
              </w:rPr>
              <w:t xml:space="preserve">will be </w:t>
            </w:r>
            <w:r w:rsidRPr="00EF5298">
              <w:rPr>
                <w:sz w:val="20"/>
                <w:szCs w:val="20"/>
                <w:lang w:val="en-US" w:eastAsia="lt-LT"/>
              </w:rPr>
              <w:t>taken into account</w:t>
            </w:r>
            <w:r>
              <w:rPr>
                <w:sz w:val="20"/>
                <w:szCs w:val="20"/>
                <w:lang w:val="en-US" w:eastAsia="lt-LT"/>
              </w:rPr>
              <w:t xml:space="preserve"> and definitions will be harmonized</w:t>
            </w:r>
            <w:r w:rsidRPr="00EF5298">
              <w:rPr>
                <w:sz w:val="20"/>
                <w:szCs w:val="20"/>
                <w:lang w:val="en-US" w:eastAsia="lt-LT"/>
              </w:rPr>
              <w:t>.</w:t>
            </w:r>
          </w:p>
        </w:tc>
      </w:tr>
      <w:tr w:rsidR="00542633" w:rsidRPr="008B1593" w:rsidDel="00EF467B" w14:paraId="1E78D411" w14:textId="77777777" w:rsidTr="00795AD6">
        <w:trPr>
          <w:trHeight w:val="659"/>
        </w:trPr>
        <w:tc>
          <w:tcPr>
            <w:tcW w:w="2830" w:type="dxa"/>
          </w:tcPr>
          <w:p w14:paraId="0AC2887F" w14:textId="77777777" w:rsidR="00542633" w:rsidRPr="000E7232" w:rsidRDefault="00542633" w:rsidP="00436468">
            <w:pPr>
              <w:pStyle w:val="CommentText"/>
              <w:jc w:val="both"/>
              <w:rPr>
                <w:lang w:val="en-US"/>
              </w:rPr>
            </w:pPr>
            <w:r w:rsidRPr="000E7232">
              <w:rPr>
                <w:lang w:val="en-US"/>
              </w:rPr>
              <w:t>On merit order for congestion management procedure</w:t>
            </w:r>
            <w:r>
              <w:rPr>
                <w:lang w:val="en-US"/>
              </w:rPr>
              <w:t xml:space="preserve"> (q.22)</w:t>
            </w:r>
          </w:p>
        </w:tc>
        <w:tc>
          <w:tcPr>
            <w:tcW w:w="6521" w:type="dxa"/>
          </w:tcPr>
          <w:p w14:paraId="63FB28EE" w14:textId="15E9FA2C" w:rsidR="00542633" w:rsidRPr="008B1593" w:rsidRDefault="00B83638" w:rsidP="00436468">
            <w:pPr>
              <w:pStyle w:val="CommentText"/>
              <w:jc w:val="both"/>
              <w:rPr>
                <w:b/>
                <w:lang w:val="en-US"/>
              </w:rPr>
            </w:pPr>
            <w:r>
              <w:rPr>
                <w:b/>
                <w:lang w:val="en-US"/>
              </w:rPr>
              <w:t>Stakeholder 2</w:t>
            </w:r>
            <w:r w:rsidR="00542633">
              <w:rPr>
                <w:b/>
                <w:lang w:val="en-US"/>
              </w:rPr>
              <w:t xml:space="preserve"> </w:t>
            </w:r>
            <w:r w:rsidR="00542633" w:rsidRPr="000E7232">
              <w:rPr>
                <w:lang w:val="en-US"/>
              </w:rPr>
              <w:t xml:space="preserve">: </w:t>
            </w:r>
            <w:r w:rsidR="00542633" w:rsidRPr="000E7232">
              <w:t xml:space="preserve"> </w:t>
            </w:r>
            <w:r w:rsidR="00542633" w:rsidRPr="000E7232">
              <w:rPr>
                <w:lang w:val="en-US"/>
              </w:rPr>
              <w:t>Does this apply to the points other than interconnection points (IPs) with other EU Member States?</w:t>
            </w:r>
          </w:p>
        </w:tc>
        <w:tc>
          <w:tcPr>
            <w:tcW w:w="6343" w:type="dxa"/>
          </w:tcPr>
          <w:p w14:paraId="355E2687" w14:textId="77777777" w:rsidR="00542633" w:rsidRPr="00EF5298" w:rsidRDefault="00542633" w:rsidP="00663DF3">
            <w:pPr>
              <w:pStyle w:val="CommentText"/>
              <w:jc w:val="both"/>
              <w:rPr>
                <w:lang w:val="en-US"/>
              </w:rPr>
            </w:pPr>
            <w:r w:rsidRPr="00EF5298">
              <w:rPr>
                <w:lang w:val="en-US"/>
              </w:rPr>
              <w:t xml:space="preserve">Congestion management procedures in general will be applied to all </w:t>
            </w:r>
            <w:r>
              <w:rPr>
                <w:lang w:val="en-US"/>
              </w:rPr>
              <w:t>relevant points</w:t>
            </w:r>
            <w:r w:rsidRPr="00EF5298">
              <w:rPr>
                <w:lang w:val="en-US"/>
              </w:rPr>
              <w:t xml:space="preserve"> </w:t>
            </w:r>
            <w:r>
              <w:rPr>
                <w:lang w:val="en-US"/>
              </w:rPr>
              <w:t>subject to the</w:t>
            </w:r>
            <w:r w:rsidRPr="00EF5298">
              <w:rPr>
                <w:lang w:val="en-US"/>
              </w:rPr>
              <w:t xml:space="preserve"> capacity booking. Congestion management procedures applicable to specific points are described in following subsections of Management of contractual congestion.</w:t>
            </w:r>
          </w:p>
        </w:tc>
      </w:tr>
      <w:tr w:rsidR="00542633" w:rsidRPr="008B1593" w:rsidDel="00EF467B" w14:paraId="620240AD" w14:textId="77777777" w:rsidTr="00795AD6">
        <w:trPr>
          <w:trHeight w:val="659"/>
        </w:trPr>
        <w:tc>
          <w:tcPr>
            <w:tcW w:w="2830" w:type="dxa"/>
          </w:tcPr>
          <w:p w14:paraId="1C6C4826" w14:textId="77777777" w:rsidR="00542633" w:rsidRPr="000B2F5B" w:rsidRDefault="00542633" w:rsidP="00AC1379">
            <w:pPr>
              <w:pStyle w:val="CommentText"/>
              <w:jc w:val="both"/>
              <w:rPr>
                <w:lang w:val="en-US"/>
              </w:rPr>
            </w:pPr>
            <w:r>
              <w:rPr>
                <w:lang w:val="en-US"/>
              </w:rPr>
              <w:t>On</w:t>
            </w:r>
            <w:r>
              <w:t xml:space="preserve"> </w:t>
            </w:r>
            <w:r>
              <w:rPr>
                <w:lang w:val="en-US"/>
              </w:rPr>
              <w:t>n</w:t>
            </w:r>
            <w:r w:rsidRPr="00AC1379">
              <w:rPr>
                <w:lang w:val="en-US"/>
              </w:rPr>
              <w:t xml:space="preserve">omination and re-nomination submission and approval terms </w:t>
            </w:r>
            <w:r>
              <w:rPr>
                <w:lang w:val="en-US"/>
              </w:rPr>
              <w:t xml:space="preserve">(q.24) </w:t>
            </w:r>
          </w:p>
        </w:tc>
        <w:tc>
          <w:tcPr>
            <w:tcW w:w="6521" w:type="dxa"/>
          </w:tcPr>
          <w:p w14:paraId="0118A796" w14:textId="47EE7981" w:rsidR="00542633" w:rsidRDefault="00B83638" w:rsidP="00DF7D57">
            <w:pPr>
              <w:pStyle w:val="CommentText"/>
              <w:jc w:val="both"/>
              <w:rPr>
                <w:b/>
                <w:lang w:val="en-US"/>
              </w:rPr>
            </w:pPr>
            <w:r>
              <w:rPr>
                <w:b/>
                <w:lang w:val="en-US"/>
              </w:rPr>
              <w:t>Stakeholder 3</w:t>
            </w:r>
            <w:r w:rsidR="00542633">
              <w:rPr>
                <w:b/>
                <w:lang w:val="en-US"/>
              </w:rPr>
              <w:t xml:space="preserve">: </w:t>
            </w:r>
            <w:r w:rsidR="00542633">
              <w:t xml:space="preserve"> </w:t>
            </w:r>
            <w:r w:rsidR="00542633" w:rsidRPr="00AC1379">
              <w:rPr>
                <w:lang w:val="en-US"/>
              </w:rPr>
              <w:t>It would be also user friendly to have daily nomination process at Balticconnector on Finnish side. Such option does not seem to create any technical problems nor for TSOs, nor for anybody else.</w:t>
            </w:r>
          </w:p>
        </w:tc>
        <w:tc>
          <w:tcPr>
            <w:tcW w:w="6343" w:type="dxa"/>
          </w:tcPr>
          <w:p w14:paraId="29E1C770" w14:textId="77777777" w:rsidR="00542633" w:rsidRPr="00EF5298" w:rsidRDefault="00542633" w:rsidP="00DF7D57">
            <w:pPr>
              <w:pStyle w:val="CommentText"/>
              <w:jc w:val="both"/>
              <w:rPr>
                <w:lang w:val="en-US"/>
              </w:rPr>
            </w:pPr>
            <w:r w:rsidRPr="003F0D43">
              <w:rPr>
                <w:lang w:val="en-US"/>
              </w:rPr>
              <w:t>In the public consultation answers to Balticconnector rules, market participants voiced the opinion that the nomination resolution should be harmonized with Finland to be hourly on both sides of Balticconnector.</w:t>
            </w:r>
          </w:p>
        </w:tc>
      </w:tr>
      <w:tr w:rsidR="00542633" w:rsidRPr="008B1593" w:rsidDel="00EF467B" w14:paraId="7FB8FB90" w14:textId="77777777" w:rsidTr="00795AD6">
        <w:trPr>
          <w:trHeight w:val="659"/>
        </w:trPr>
        <w:tc>
          <w:tcPr>
            <w:tcW w:w="2830" w:type="dxa"/>
          </w:tcPr>
          <w:p w14:paraId="0B782530" w14:textId="77777777" w:rsidR="00542633" w:rsidRPr="00436468" w:rsidRDefault="00542633" w:rsidP="00DF7D57">
            <w:pPr>
              <w:pStyle w:val="CommentText"/>
              <w:jc w:val="both"/>
              <w:rPr>
                <w:lang w:val="en-US"/>
              </w:rPr>
            </w:pPr>
            <w:r w:rsidRPr="00436468">
              <w:rPr>
                <w:lang w:val="en-US"/>
              </w:rPr>
              <w:t xml:space="preserve">On </w:t>
            </w:r>
            <w:r w:rsidRPr="00436468">
              <w:rPr>
                <w:rFonts w:eastAsia="Times New Roman"/>
                <w:lang w:val="en-GB"/>
              </w:rPr>
              <w:t xml:space="preserve"> the timeline set out for Allocation and Invoicing in the Network rules (q.26)</w:t>
            </w:r>
          </w:p>
        </w:tc>
        <w:tc>
          <w:tcPr>
            <w:tcW w:w="6521" w:type="dxa"/>
          </w:tcPr>
          <w:p w14:paraId="1B374AFA" w14:textId="0B55D80D" w:rsidR="00542633" w:rsidRDefault="00B83638" w:rsidP="00AC1379">
            <w:pPr>
              <w:pStyle w:val="CommentText"/>
              <w:jc w:val="both"/>
              <w:rPr>
                <w:b/>
                <w:lang w:val="en-US"/>
              </w:rPr>
            </w:pPr>
            <w:r>
              <w:rPr>
                <w:b/>
                <w:lang w:val="en-US"/>
              </w:rPr>
              <w:t>Stakeholder 3</w:t>
            </w:r>
            <w:r w:rsidR="00542633">
              <w:rPr>
                <w:b/>
                <w:lang w:val="en-US"/>
              </w:rPr>
              <w:t xml:space="preserve">: </w:t>
            </w:r>
            <w:r w:rsidR="00542633">
              <w:t xml:space="preserve"> </w:t>
            </w:r>
            <w:r w:rsidR="00542633" w:rsidRPr="00436468">
              <w:rPr>
                <w:lang w:val="en-US"/>
              </w:rPr>
              <w:t>For financial reporting reasons we would see a huge advantage to receive invoices earlier than the 10th of the month. Every day earlier would be a great support.</w:t>
            </w:r>
          </w:p>
        </w:tc>
        <w:tc>
          <w:tcPr>
            <w:tcW w:w="6343" w:type="dxa"/>
          </w:tcPr>
          <w:p w14:paraId="33441690" w14:textId="77777777" w:rsidR="00542633" w:rsidRPr="00EF5298" w:rsidRDefault="00542633" w:rsidP="000B791F">
            <w:pPr>
              <w:pStyle w:val="CommentText"/>
              <w:jc w:val="both"/>
              <w:rPr>
                <w:lang w:val="en-US"/>
              </w:rPr>
            </w:pPr>
            <w:r w:rsidRPr="00EF5298">
              <w:rPr>
                <w:lang w:val="en-US"/>
              </w:rPr>
              <w:t>Proposal will be taken into account in future development</w:t>
            </w:r>
            <w:r>
              <w:rPr>
                <w:lang w:val="en-US"/>
              </w:rPr>
              <w:t xml:space="preserve"> of the network rules</w:t>
            </w:r>
            <w:r w:rsidRPr="00EF5298">
              <w:rPr>
                <w:lang w:val="en-US"/>
              </w:rPr>
              <w:t>. Currently date of allocation and invoicing is dependent on other deadlines which are set</w:t>
            </w:r>
            <w:r>
              <w:rPr>
                <w:lang w:val="en-US"/>
              </w:rPr>
              <w:t xml:space="preserve"> mostly</w:t>
            </w:r>
            <w:r w:rsidRPr="00EF5298">
              <w:rPr>
                <w:lang w:val="en-US"/>
              </w:rPr>
              <w:t xml:space="preserve"> in </w:t>
            </w:r>
            <w:r>
              <w:rPr>
                <w:lang w:val="en-US"/>
              </w:rPr>
              <w:t xml:space="preserve">the Estonian </w:t>
            </w:r>
            <w:r w:rsidRPr="00EF5298">
              <w:rPr>
                <w:lang w:val="en-US"/>
              </w:rPr>
              <w:t>national legislation</w:t>
            </w:r>
            <w:r>
              <w:rPr>
                <w:lang w:val="en-US"/>
              </w:rPr>
              <w:t xml:space="preserve"> (e.g. for providing metering data)</w:t>
            </w:r>
            <w:r w:rsidRPr="00EF5298">
              <w:rPr>
                <w:lang w:val="en-US"/>
              </w:rPr>
              <w:t xml:space="preserve"> and agreements between </w:t>
            </w:r>
            <w:r>
              <w:rPr>
                <w:lang w:val="en-US"/>
              </w:rPr>
              <w:t>the TSOs</w:t>
            </w:r>
            <w:r w:rsidRPr="00EF5298">
              <w:rPr>
                <w:lang w:val="en-US"/>
              </w:rPr>
              <w:t>.</w:t>
            </w:r>
          </w:p>
        </w:tc>
      </w:tr>
      <w:tr w:rsidR="00542633" w:rsidRPr="008B1593" w:rsidDel="00EF467B" w14:paraId="57EC846F" w14:textId="77777777" w:rsidTr="00795AD6">
        <w:trPr>
          <w:trHeight w:val="659"/>
        </w:trPr>
        <w:tc>
          <w:tcPr>
            <w:tcW w:w="2830" w:type="dxa"/>
          </w:tcPr>
          <w:p w14:paraId="7697C4DC" w14:textId="77777777" w:rsidR="00542633" w:rsidRPr="000B2F5B" w:rsidRDefault="00542633" w:rsidP="00DF7D57">
            <w:pPr>
              <w:pStyle w:val="CommentText"/>
              <w:jc w:val="both"/>
              <w:rPr>
                <w:lang w:val="en-US"/>
              </w:rPr>
            </w:pPr>
            <w:r>
              <w:rPr>
                <w:lang w:val="en-US"/>
              </w:rPr>
              <w:t>On</w:t>
            </w:r>
            <w:r>
              <w:t xml:space="preserve"> </w:t>
            </w:r>
            <w:r w:rsidRPr="00436468">
              <w:rPr>
                <w:lang w:val="en-US"/>
              </w:rPr>
              <w:t>transitional period Gas year schedule from 1st of January 2020 till 1st of October2020?</w:t>
            </w:r>
            <w:r>
              <w:rPr>
                <w:lang w:val="en-US"/>
              </w:rPr>
              <w:t xml:space="preserve"> (q.27) </w:t>
            </w:r>
          </w:p>
        </w:tc>
        <w:tc>
          <w:tcPr>
            <w:tcW w:w="6521" w:type="dxa"/>
          </w:tcPr>
          <w:p w14:paraId="37682E5F" w14:textId="0C594BA6" w:rsidR="00542633" w:rsidRDefault="00B83638" w:rsidP="00436468">
            <w:pPr>
              <w:pStyle w:val="CommentText"/>
              <w:jc w:val="both"/>
              <w:rPr>
                <w:lang w:val="en-US"/>
              </w:rPr>
            </w:pPr>
            <w:r>
              <w:rPr>
                <w:b/>
                <w:lang w:val="en-US"/>
              </w:rPr>
              <w:t>Stakeholder 3</w:t>
            </w:r>
            <w:r w:rsidR="00542633">
              <w:rPr>
                <w:b/>
                <w:lang w:val="en-US"/>
              </w:rPr>
              <w:t xml:space="preserve">: </w:t>
            </w:r>
            <w:r w:rsidR="00542633">
              <w:t xml:space="preserve"> </w:t>
            </w:r>
            <w:r w:rsidR="00542633" w:rsidRPr="00436468">
              <w:rPr>
                <w:lang w:val="en-US"/>
              </w:rPr>
              <w:t>both clients and long term liabilities would face tariff uncertainties if start of the gas year would change from 2020.</w:t>
            </w:r>
          </w:p>
          <w:p w14:paraId="32C7D57E" w14:textId="77777777" w:rsidR="00542633" w:rsidRDefault="00542633" w:rsidP="00AC637F">
            <w:pPr>
              <w:suppressAutoHyphens/>
              <w:jc w:val="both"/>
              <w:rPr>
                <w:b/>
                <w:sz w:val="20"/>
                <w:szCs w:val="20"/>
                <w:lang w:val="en-US" w:eastAsia="lt-LT"/>
              </w:rPr>
            </w:pPr>
          </w:p>
          <w:p w14:paraId="37561A97" w14:textId="2082844B" w:rsidR="00542633" w:rsidRDefault="00B83638" w:rsidP="00AC637F">
            <w:pPr>
              <w:pStyle w:val="CommentText"/>
              <w:jc w:val="both"/>
              <w:rPr>
                <w:b/>
                <w:lang w:val="en-US"/>
              </w:rPr>
            </w:pPr>
            <w:r>
              <w:rPr>
                <w:b/>
                <w:lang w:val="en-US" w:eastAsia="lt-LT"/>
              </w:rPr>
              <w:t>Stakeholder 3</w:t>
            </w:r>
            <w:r w:rsidR="00542633" w:rsidRPr="00BC6CE3">
              <w:rPr>
                <w:b/>
                <w:lang w:val="en-US" w:eastAsia="lt-LT"/>
              </w:rPr>
              <w:t>:</w:t>
            </w:r>
            <w:r w:rsidR="00542633">
              <w:rPr>
                <w:lang w:val="en-US" w:eastAsia="lt-LT"/>
              </w:rPr>
              <w:t xml:space="preserve"> </w:t>
            </w:r>
            <w:r w:rsidR="00542633" w:rsidRPr="00BC6CE3">
              <w:rPr>
                <w:lang w:val="en-US" w:eastAsia="lt-LT"/>
              </w:rPr>
              <w:t>Given relatively short time and long term commitment of suppliers, it would be harmful to change the gas year from October 1, 2020. End consumers also need to be well prepared for such change as most of them are budgeting their activities according to the calendar year. We propose to postpone the change of the gas year. The Transitional period could be until Baltic market is connected to the western Europe market via GIPL connection. Earlier transformation does not give any benefits, only creates complexity to the traders and gas users.</w:t>
            </w:r>
          </w:p>
        </w:tc>
        <w:tc>
          <w:tcPr>
            <w:tcW w:w="6343" w:type="dxa"/>
          </w:tcPr>
          <w:p w14:paraId="7D46E832" w14:textId="77777777" w:rsidR="00542633" w:rsidRPr="00EF5298" w:rsidRDefault="00542633" w:rsidP="000C7F99">
            <w:pPr>
              <w:pStyle w:val="CommentText"/>
              <w:jc w:val="both"/>
              <w:rPr>
                <w:lang w:val="en-US"/>
              </w:rPr>
            </w:pPr>
            <w:r w:rsidRPr="00EF5298">
              <w:rPr>
                <w:lang w:val="en-US"/>
              </w:rPr>
              <w:t>Proposal not taken into account.</w:t>
            </w:r>
          </w:p>
          <w:p w14:paraId="2446C219" w14:textId="1F551598" w:rsidR="00542633" w:rsidRDefault="00542633" w:rsidP="000C7F99">
            <w:pPr>
              <w:pStyle w:val="CommentText"/>
              <w:jc w:val="both"/>
              <w:rPr>
                <w:lang w:val="en-US"/>
              </w:rPr>
            </w:pPr>
            <w:r>
              <w:rPr>
                <w:lang w:val="en-US"/>
              </w:rPr>
              <w:t>To clarify, gas year and tariff period are distinguished in relevant EU legislation. Gas year is defined to be from October to October, while tariff period is not strictly specified and national regulatory differences apply.</w:t>
            </w:r>
          </w:p>
          <w:p w14:paraId="4990FD57" w14:textId="77777777" w:rsidR="00542633" w:rsidRDefault="00542633" w:rsidP="000C7F99">
            <w:pPr>
              <w:pStyle w:val="CommentText"/>
              <w:jc w:val="both"/>
              <w:rPr>
                <w:lang w:val="en-US"/>
              </w:rPr>
            </w:pPr>
            <w:r w:rsidRPr="00EF5298">
              <w:rPr>
                <w:lang w:val="en-US"/>
              </w:rPr>
              <w:t>Gas year beginning in October is already implemented in El</w:t>
            </w:r>
            <w:bookmarkStart w:id="0" w:name="_GoBack"/>
            <w:bookmarkEnd w:id="0"/>
            <w:r w:rsidRPr="00EF5298">
              <w:rPr>
                <w:lang w:val="en-US"/>
              </w:rPr>
              <w:t>ering transmission network rul</w:t>
            </w:r>
            <w:r>
              <w:rPr>
                <w:lang w:val="en-US"/>
              </w:rPr>
              <w:t xml:space="preserve">es and currently effective. </w:t>
            </w:r>
          </w:p>
          <w:p w14:paraId="5A53DEA7" w14:textId="067E5948" w:rsidR="00542633" w:rsidRDefault="00542633" w:rsidP="000C7F99">
            <w:pPr>
              <w:pStyle w:val="CommentText"/>
              <w:jc w:val="both"/>
              <w:rPr>
                <w:lang w:val="en-US"/>
              </w:rPr>
            </w:pPr>
            <w:r>
              <w:rPr>
                <w:lang w:val="en-US"/>
              </w:rPr>
              <w:t>The proposal is that the tariff period in Estonia and Latvia starts with 1</w:t>
            </w:r>
            <w:r w:rsidRPr="00342760">
              <w:rPr>
                <w:vertAlign w:val="superscript"/>
                <w:lang w:val="en-US"/>
              </w:rPr>
              <w:t>st</w:t>
            </w:r>
            <w:r>
              <w:rPr>
                <w:lang w:val="en-US"/>
              </w:rPr>
              <w:t xml:space="preserve"> of January 2020 and will be effective at least for 12 months (i.e. the minimum time period established in the Tariff network code), therefore, no sudden change of tariff period is foreseen. </w:t>
            </w:r>
          </w:p>
          <w:p w14:paraId="5E9183A8" w14:textId="77777777" w:rsidR="00542633" w:rsidRDefault="00542633" w:rsidP="000C7F99">
            <w:pPr>
              <w:pStyle w:val="CommentText"/>
              <w:jc w:val="both"/>
              <w:rPr>
                <w:lang w:val="en-US"/>
              </w:rPr>
            </w:pPr>
          </w:p>
          <w:p w14:paraId="0F74BFD1" w14:textId="77777777" w:rsidR="00542633" w:rsidRPr="00EF5298" w:rsidRDefault="00542633" w:rsidP="000C7F99">
            <w:pPr>
              <w:pStyle w:val="CommentText"/>
              <w:jc w:val="both"/>
              <w:rPr>
                <w:lang w:val="en-US"/>
              </w:rPr>
            </w:pPr>
          </w:p>
        </w:tc>
      </w:tr>
      <w:tr w:rsidR="00542633" w:rsidRPr="008B1593" w:rsidDel="00EF467B" w14:paraId="5C953FBA" w14:textId="77777777" w:rsidTr="00795AD6">
        <w:trPr>
          <w:trHeight w:val="659"/>
        </w:trPr>
        <w:tc>
          <w:tcPr>
            <w:tcW w:w="2830" w:type="dxa"/>
          </w:tcPr>
          <w:p w14:paraId="27A174D0" w14:textId="77777777" w:rsidR="00542633" w:rsidRPr="000B2F5B" w:rsidRDefault="00542633" w:rsidP="00DF7D57">
            <w:pPr>
              <w:pStyle w:val="CommentText"/>
              <w:jc w:val="both"/>
              <w:rPr>
                <w:lang w:val="en-US"/>
              </w:rPr>
            </w:pPr>
            <w:r w:rsidRPr="000B2F5B">
              <w:rPr>
                <w:lang w:val="en-US"/>
              </w:rPr>
              <w:t>General comment on data exchange</w:t>
            </w:r>
            <w:r>
              <w:rPr>
                <w:lang w:val="en-US"/>
              </w:rPr>
              <w:t xml:space="preserve"> (q.29)</w:t>
            </w:r>
          </w:p>
        </w:tc>
        <w:tc>
          <w:tcPr>
            <w:tcW w:w="6521" w:type="dxa"/>
          </w:tcPr>
          <w:p w14:paraId="780B04E9" w14:textId="623F72A6" w:rsidR="00542633" w:rsidRDefault="00B83638" w:rsidP="00AC1379">
            <w:pPr>
              <w:pStyle w:val="CommentText"/>
              <w:jc w:val="both"/>
              <w:rPr>
                <w:lang w:val="en-US"/>
              </w:rPr>
            </w:pPr>
            <w:r>
              <w:rPr>
                <w:b/>
                <w:lang w:val="en-US"/>
              </w:rPr>
              <w:t>Stakeholder 3</w:t>
            </w:r>
            <w:r w:rsidR="00542633">
              <w:rPr>
                <w:b/>
                <w:lang w:val="en-US"/>
              </w:rPr>
              <w:t>:</w:t>
            </w:r>
            <w:r w:rsidR="00542633" w:rsidRPr="000B2F5B">
              <w:rPr>
                <w:lang w:val="en-US"/>
              </w:rPr>
              <w:t xml:space="preserve"> </w:t>
            </w:r>
            <w:r w:rsidR="00542633" w:rsidRPr="000B2F5B">
              <w:t xml:space="preserve"> </w:t>
            </w:r>
            <w:r w:rsidR="00542633" w:rsidRPr="000B2F5B">
              <w:rPr>
                <w:lang w:val="en-US"/>
              </w:rPr>
              <w:t>It is unclear, what is expected of market participants here. Once it is clear what IT development is needed from market participants it is easier to have a preference. What is the “Common IT platform”?</w:t>
            </w:r>
          </w:p>
          <w:p w14:paraId="59C84512" w14:textId="1BCD6090" w:rsidR="00542633" w:rsidRPr="008B1593" w:rsidRDefault="00B83638" w:rsidP="00AC1379">
            <w:pPr>
              <w:pStyle w:val="CommentText"/>
              <w:jc w:val="both"/>
              <w:rPr>
                <w:b/>
                <w:lang w:val="en-US"/>
              </w:rPr>
            </w:pPr>
            <w:r>
              <w:rPr>
                <w:b/>
                <w:lang w:val="en-US"/>
              </w:rPr>
              <w:t>Stakeholder 3</w:t>
            </w:r>
            <w:r w:rsidR="00542633">
              <w:rPr>
                <w:lang w:val="en-US"/>
              </w:rPr>
              <w:t xml:space="preserve">: </w:t>
            </w:r>
            <w:r w:rsidR="00542633">
              <w:t xml:space="preserve"> </w:t>
            </w:r>
            <w:r w:rsidR="00542633" w:rsidRPr="00436468">
              <w:rPr>
                <w:lang w:val="en-US"/>
              </w:rPr>
              <w:t>Main requirement is to have possibility for System-To-System communication and manual adjustment of information.</w:t>
            </w:r>
          </w:p>
        </w:tc>
        <w:tc>
          <w:tcPr>
            <w:tcW w:w="6343" w:type="dxa"/>
          </w:tcPr>
          <w:p w14:paraId="730EA910" w14:textId="77777777" w:rsidR="00542633" w:rsidRPr="00EF5298" w:rsidRDefault="00542633" w:rsidP="00DF7D57">
            <w:pPr>
              <w:pStyle w:val="CommentText"/>
              <w:jc w:val="both"/>
              <w:rPr>
                <w:lang w:val="en-US" w:eastAsia="lt-LT"/>
              </w:rPr>
            </w:pPr>
            <w:r w:rsidRPr="00EF5298">
              <w:rPr>
                <w:lang w:val="en-US" w:eastAsia="lt-LT"/>
              </w:rPr>
              <w:t>Comment</w:t>
            </w:r>
            <w:r>
              <w:rPr>
                <w:lang w:val="en-US" w:eastAsia="lt-LT"/>
              </w:rPr>
              <w:t xml:space="preserve"> will be</w:t>
            </w:r>
            <w:r w:rsidRPr="00EF5298">
              <w:rPr>
                <w:lang w:val="en-US" w:eastAsia="lt-LT"/>
              </w:rPr>
              <w:t xml:space="preserve"> taken into account.</w:t>
            </w:r>
          </w:p>
          <w:p w14:paraId="1478CFBD" w14:textId="3FF78D6D" w:rsidR="00542633" w:rsidRPr="00EF5298" w:rsidRDefault="000C639F" w:rsidP="00DF7D57">
            <w:pPr>
              <w:pStyle w:val="CommentText"/>
              <w:jc w:val="both"/>
              <w:rPr>
                <w:lang w:val="en-US" w:eastAsia="lt-LT"/>
              </w:rPr>
            </w:pPr>
            <w:r w:rsidRPr="00EF5298">
              <w:rPr>
                <w:lang w:val="en-US" w:eastAsia="lt-LT"/>
              </w:rPr>
              <w:t>Provision</w:t>
            </w:r>
            <w:r w:rsidR="00542633" w:rsidRPr="00EF5298">
              <w:rPr>
                <w:lang w:val="en-US" w:eastAsia="lt-LT"/>
              </w:rPr>
              <w:t xml:space="preserve"> for clarification of “Common IT Platform” will be added.</w:t>
            </w:r>
          </w:p>
          <w:p w14:paraId="79C64220" w14:textId="77777777" w:rsidR="00542633" w:rsidRPr="00EF5298" w:rsidRDefault="00542633" w:rsidP="00DF7D57">
            <w:pPr>
              <w:pStyle w:val="CommentText"/>
              <w:jc w:val="both"/>
              <w:rPr>
                <w:lang w:val="en-US" w:eastAsia="lt-LT"/>
              </w:rPr>
            </w:pPr>
            <w:r w:rsidRPr="00EF5298">
              <w:rPr>
                <w:lang w:val="en-US" w:eastAsia="lt-LT"/>
              </w:rPr>
              <w:t xml:space="preserve">“Common IT Platform” is current working title of the centralized IT system jointly developed by Elering and Conexus Baltic Grid for the support of operations of </w:t>
            </w:r>
            <w:r>
              <w:rPr>
                <w:lang w:val="en-US" w:eastAsia="lt-LT"/>
              </w:rPr>
              <w:t>the common</w:t>
            </w:r>
            <w:r w:rsidRPr="00EF5298">
              <w:rPr>
                <w:lang w:val="en-US" w:eastAsia="lt-LT"/>
              </w:rPr>
              <w:t xml:space="preserve"> balancing zone. The IT platform will provide:</w:t>
            </w:r>
          </w:p>
          <w:p w14:paraId="45E3B5DE" w14:textId="77777777" w:rsidR="00542633" w:rsidRPr="00EF5298" w:rsidRDefault="00542633" w:rsidP="00BE6FBD">
            <w:pPr>
              <w:pStyle w:val="CommentText"/>
              <w:numPr>
                <w:ilvl w:val="0"/>
                <w:numId w:val="31"/>
              </w:numPr>
              <w:jc w:val="both"/>
              <w:rPr>
                <w:lang w:val="en-US" w:eastAsia="lt-LT"/>
              </w:rPr>
            </w:pPr>
            <w:r w:rsidRPr="00EF5298">
              <w:rPr>
                <w:lang w:val="en-US" w:eastAsia="lt-LT"/>
              </w:rPr>
              <w:t>Web interface (booking, nominations, balance positions etc)</w:t>
            </w:r>
          </w:p>
          <w:p w14:paraId="4BC4E362" w14:textId="77777777" w:rsidR="00542633" w:rsidRPr="00EF5298" w:rsidRDefault="00542633" w:rsidP="00BE6FBD">
            <w:pPr>
              <w:pStyle w:val="CommentText"/>
              <w:numPr>
                <w:ilvl w:val="0"/>
                <w:numId w:val="31"/>
              </w:numPr>
              <w:jc w:val="both"/>
              <w:rPr>
                <w:lang w:val="en-US" w:eastAsia="lt-LT"/>
              </w:rPr>
            </w:pPr>
            <w:r w:rsidRPr="00EF5298">
              <w:rPr>
                <w:lang w:val="en-US" w:eastAsia="lt-LT"/>
              </w:rPr>
              <w:t>Option for direct communication with trading systems</w:t>
            </w:r>
          </w:p>
          <w:p w14:paraId="5B54095B" w14:textId="77777777" w:rsidR="00542633" w:rsidRPr="00EF5298" w:rsidRDefault="00542633" w:rsidP="000C7F99">
            <w:pPr>
              <w:pStyle w:val="CommentText"/>
              <w:jc w:val="both"/>
              <w:rPr>
                <w:lang w:val="en-US" w:eastAsia="lt-LT"/>
              </w:rPr>
            </w:pPr>
          </w:p>
          <w:p w14:paraId="41F7D155" w14:textId="77777777" w:rsidR="00542633" w:rsidRPr="00EF5298" w:rsidRDefault="00542633" w:rsidP="00DF7D57">
            <w:pPr>
              <w:pStyle w:val="CommentText"/>
              <w:jc w:val="both"/>
              <w:rPr>
                <w:lang w:val="en-US"/>
              </w:rPr>
            </w:pPr>
            <w:r w:rsidRPr="00EF5298">
              <w:rPr>
                <w:lang w:val="en-US" w:eastAsia="lt-LT"/>
              </w:rPr>
              <w:t>Exchange of information will be based on EDIG@S standard, providing two ways of communication with market participants – WEB interface and option of direct communication with TSOs IT system.</w:t>
            </w:r>
          </w:p>
          <w:p w14:paraId="5B268B96" w14:textId="77777777" w:rsidR="00542633" w:rsidRPr="00EF5298" w:rsidRDefault="00542633" w:rsidP="00DF7D57">
            <w:pPr>
              <w:pStyle w:val="CommentText"/>
              <w:jc w:val="both"/>
              <w:rPr>
                <w:lang w:val="en-US"/>
              </w:rPr>
            </w:pPr>
            <w:r w:rsidRPr="00EF5298">
              <w:rPr>
                <w:lang w:val="en-US"/>
              </w:rPr>
              <w:t>For those market participants not having or planning to have the trading systems supporting EDIG@S standard, no development will be required, just some training for the use of provided WEB interface.</w:t>
            </w:r>
          </w:p>
          <w:p w14:paraId="70C5CDEF" w14:textId="77777777" w:rsidR="00542633" w:rsidRPr="00EF5298" w:rsidRDefault="00542633" w:rsidP="00DF7D57">
            <w:pPr>
              <w:pStyle w:val="CommentText"/>
              <w:jc w:val="both"/>
              <w:rPr>
                <w:lang w:val="en-US"/>
              </w:rPr>
            </w:pPr>
            <w:r w:rsidRPr="00EF5298">
              <w:rPr>
                <w:lang w:val="en-US"/>
              </w:rPr>
              <w:t>For market participants, having trading systems supporting EDIG@S standard, minor customization may be required.</w:t>
            </w:r>
          </w:p>
          <w:p w14:paraId="6F7A3EDC" w14:textId="77777777" w:rsidR="00542633" w:rsidRPr="00EF5298" w:rsidRDefault="00542633" w:rsidP="00DF7D57">
            <w:pPr>
              <w:pStyle w:val="CommentText"/>
              <w:jc w:val="both"/>
              <w:rPr>
                <w:lang w:val="en-US"/>
              </w:rPr>
            </w:pPr>
            <w:r w:rsidRPr="00EF5298">
              <w:rPr>
                <w:lang w:val="en-US"/>
              </w:rPr>
              <w:lastRenderedPageBreak/>
              <w:t>TSOs would like to turn attention of the market participants that manual adjustment of information will be permitted only before submission of messages to the TSOs. The rest of the process will be automatic and adjustments will be possible only by submission of specific adjusted messages in cases permitted by the Rules.</w:t>
            </w:r>
          </w:p>
          <w:p w14:paraId="3FCA73A2" w14:textId="77777777" w:rsidR="00542633" w:rsidRPr="00EF5298" w:rsidRDefault="00542633" w:rsidP="00DF7D57">
            <w:pPr>
              <w:pStyle w:val="CommentText"/>
              <w:jc w:val="both"/>
              <w:rPr>
                <w:lang w:val="en-US"/>
              </w:rPr>
            </w:pPr>
          </w:p>
        </w:tc>
      </w:tr>
      <w:tr w:rsidR="00542633" w:rsidRPr="008B1593" w:rsidDel="00EF467B" w14:paraId="183117DB" w14:textId="77777777" w:rsidTr="00795AD6">
        <w:trPr>
          <w:trHeight w:val="659"/>
        </w:trPr>
        <w:tc>
          <w:tcPr>
            <w:tcW w:w="2830" w:type="dxa"/>
          </w:tcPr>
          <w:p w14:paraId="64BAAF5D" w14:textId="77777777" w:rsidR="00542633" w:rsidRPr="000E7232" w:rsidRDefault="00542633" w:rsidP="00DF7D57">
            <w:pPr>
              <w:pStyle w:val="CommentText"/>
              <w:jc w:val="both"/>
              <w:rPr>
                <w:lang w:val="en-US"/>
              </w:rPr>
            </w:pPr>
            <w:r>
              <w:rPr>
                <w:lang w:val="en-US"/>
              </w:rPr>
              <w:lastRenderedPageBreak/>
              <w:t>On implied nomination calculation (q.30)</w:t>
            </w:r>
          </w:p>
        </w:tc>
        <w:tc>
          <w:tcPr>
            <w:tcW w:w="6521" w:type="dxa"/>
          </w:tcPr>
          <w:p w14:paraId="68E67918" w14:textId="22A7F247" w:rsidR="00542633" w:rsidRDefault="00B83638" w:rsidP="00DF7D57">
            <w:pPr>
              <w:pStyle w:val="CommentText"/>
              <w:jc w:val="both"/>
              <w:rPr>
                <w:b/>
                <w:lang w:val="en-US"/>
              </w:rPr>
            </w:pPr>
            <w:r>
              <w:rPr>
                <w:b/>
                <w:lang w:val="en-US"/>
              </w:rPr>
              <w:t>Stakeholder 3</w:t>
            </w:r>
            <w:r w:rsidR="00542633">
              <w:rPr>
                <w:b/>
                <w:lang w:val="en-US"/>
              </w:rPr>
              <w:t xml:space="preserve">: </w:t>
            </w:r>
            <w:r w:rsidR="00542633">
              <w:t xml:space="preserve"> </w:t>
            </w:r>
            <w:r w:rsidR="00542633" w:rsidRPr="00436468">
              <w:rPr>
                <w:lang w:val="en-US"/>
              </w:rPr>
              <w:t>This procedure could be used if Operators do not have possibilities to manage this situation in any other ways (inter-operational agreements). To use next day nomination/ flow/balance for fulfilling the needs of shippers to increase or lower the flow.</w:t>
            </w:r>
          </w:p>
        </w:tc>
        <w:tc>
          <w:tcPr>
            <w:tcW w:w="6343" w:type="dxa"/>
          </w:tcPr>
          <w:p w14:paraId="6CC086A7" w14:textId="77777777" w:rsidR="00542633" w:rsidRPr="00EF5298" w:rsidRDefault="00542633" w:rsidP="009837D8">
            <w:pPr>
              <w:pStyle w:val="CommentText"/>
              <w:jc w:val="both"/>
              <w:rPr>
                <w:lang w:val="en-US"/>
              </w:rPr>
            </w:pPr>
            <w:r>
              <w:rPr>
                <w:lang w:val="en-US"/>
              </w:rPr>
              <w:t>The rule is based on</w:t>
            </w:r>
            <w:r w:rsidRPr="00EF5298">
              <w:rPr>
                <w:lang w:val="en-US"/>
              </w:rPr>
              <w:t xml:space="preserve"> Article 17 of Commission Regulation (EU) No 312/2014 establishing a Network Code on Gas Balancing of Transmission Networks (hereafter – BAL NC)</w:t>
            </w:r>
          </w:p>
        </w:tc>
      </w:tr>
      <w:tr w:rsidR="00542633" w:rsidRPr="008B1593" w:rsidDel="00EF467B" w14:paraId="75D3B38E" w14:textId="77777777" w:rsidTr="00795AD6">
        <w:trPr>
          <w:trHeight w:val="659"/>
        </w:trPr>
        <w:tc>
          <w:tcPr>
            <w:tcW w:w="2830" w:type="dxa"/>
          </w:tcPr>
          <w:p w14:paraId="2E6CDD6A" w14:textId="77777777" w:rsidR="00542633" w:rsidRPr="00086D89" w:rsidRDefault="00542633" w:rsidP="00086D89">
            <w:pPr>
              <w:pStyle w:val="CommentText"/>
              <w:jc w:val="both"/>
              <w:rPr>
                <w:lang w:val="en-US"/>
              </w:rPr>
            </w:pPr>
            <w:r w:rsidRPr="00086D89">
              <w:rPr>
                <w:lang w:val="en-US"/>
              </w:rPr>
              <w:t>On energy units used</w:t>
            </w:r>
          </w:p>
        </w:tc>
        <w:tc>
          <w:tcPr>
            <w:tcW w:w="6521" w:type="dxa"/>
          </w:tcPr>
          <w:p w14:paraId="2176EF78" w14:textId="30160B49" w:rsidR="00542633" w:rsidRPr="008B1593" w:rsidRDefault="00B83638" w:rsidP="00086D89">
            <w:pPr>
              <w:pStyle w:val="CommentText"/>
              <w:jc w:val="both"/>
              <w:rPr>
                <w:b/>
                <w:lang w:val="en-US"/>
              </w:rPr>
            </w:pPr>
            <w:r>
              <w:rPr>
                <w:b/>
                <w:lang w:val="en-US" w:eastAsia="lt-LT"/>
              </w:rPr>
              <w:t>Stakeholder 4</w:t>
            </w:r>
            <w:r w:rsidR="00542633">
              <w:rPr>
                <w:lang w:val="en-US" w:eastAsia="lt-LT"/>
              </w:rPr>
              <w:t>:</w:t>
            </w:r>
            <w:r w:rsidR="00542633">
              <w:t xml:space="preserve"> </w:t>
            </w:r>
            <w:r w:rsidR="00542633" w:rsidRPr="00086D89">
              <w:rPr>
                <w:lang w:val="en-US" w:eastAsia="lt-LT"/>
              </w:rPr>
              <w:t>In the document the default unit used is kWh (or at capacity products the kW/d). Don’t you think that kWh has too little value and MWh should be used instead?</w:t>
            </w:r>
          </w:p>
        </w:tc>
        <w:tc>
          <w:tcPr>
            <w:tcW w:w="6343" w:type="dxa"/>
          </w:tcPr>
          <w:p w14:paraId="6ACD9EC4" w14:textId="77777777" w:rsidR="00542633" w:rsidRPr="00EF5298" w:rsidRDefault="00542633" w:rsidP="00086D89">
            <w:pPr>
              <w:pStyle w:val="CommentText"/>
              <w:jc w:val="both"/>
              <w:rPr>
                <w:rFonts w:eastAsia="Times New Roman"/>
                <w:lang w:val="en"/>
              </w:rPr>
            </w:pPr>
            <w:r w:rsidRPr="00EF5298">
              <w:rPr>
                <w:lang w:val="en-US"/>
              </w:rPr>
              <w:t xml:space="preserve">According to the Article 10 of the </w:t>
            </w:r>
            <w:r w:rsidRPr="00EF5298">
              <w:rPr>
                <w:rFonts w:eastAsia="Times New Roman"/>
                <w:lang w:val="en"/>
              </w:rPr>
              <w:t xml:space="preserve"> Commission Regulation (EU) 2017/459 of 16 March 2017 establishing a network code on capacity allocation mechanisms in gas transmission systems and repealing Regulation (EU) No 984/2013 (Hereafter – CAM NC), </w:t>
            </w:r>
            <w:r w:rsidRPr="00EF5298">
              <w:t xml:space="preserve"> </w:t>
            </w:r>
            <w:r w:rsidRPr="00EF5298">
              <w:rPr>
                <w:rFonts w:eastAsia="Times New Roman"/>
                <w:lang w:val="en"/>
              </w:rPr>
              <w:t>the following units shall be used: kWh/h or kWh/d.</w:t>
            </w:r>
          </w:p>
          <w:p w14:paraId="6D50ACAD" w14:textId="77777777" w:rsidR="00542633" w:rsidRPr="00EF5298" w:rsidRDefault="00542633" w:rsidP="00BE6FBD">
            <w:pPr>
              <w:pStyle w:val="CommentText"/>
              <w:jc w:val="both"/>
              <w:rPr>
                <w:lang w:val="en-US"/>
              </w:rPr>
            </w:pPr>
            <w:r w:rsidRPr="00EF5298">
              <w:rPr>
                <w:rFonts w:eastAsia="Times New Roman"/>
                <w:lang w:val="en"/>
              </w:rPr>
              <w:t>As introduction of the hourly balancing is not planned yet, proposed unit of capacity products is  kWh/d.</w:t>
            </w:r>
          </w:p>
        </w:tc>
      </w:tr>
      <w:tr w:rsidR="00542633" w:rsidRPr="008B1593" w:rsidDel="00EF467B" w14:paraId="7DD35F19" w14:textId="77777777" w:rsidTr="00795AD6">
        <w:trPr>
          <w:trHeight w:val="659"/>
        </w:trPr>
        <w:tc>
          <w:tcPr>
            <w:tcW w:w="2830" w:type="dxa"/>
          </w:tcPr>
          <w:p w14:paraId="559C3D7B" w14:textId="77777777" w:rsidR="00542633" w:rsidRPr="008B1593" w:rsidRDefault="00542633" w:rsidP="00086D89">
            <w:pPr>
              <w:pStyle w:val="CommentText"/>
              <w:jc w:val="both"/>
              <w:rPr>
                <w:b/>
                <w:lang w:val="en-US"/>
              </w:rPr>
            </w:pPr>
            <w:r w:rsidRPr="008B1593">
              <w:rPr>
                <w:b/>
                <w:lang w:val="en-US"/>
              </w:rPr>
              <w:t>1. General provisions</w:t>
            </w:r>
          </w:p>
          <w:p w14:paraId="65EF6AED" w14:textId="77777777" w:rsidR="00542633" w:rsidRPr="008B1593" w:rsidRDefault="00542633" w:rsidP="00086D89">
            <w:pPr>
              <w:pStyle w:val="CommentText"/>
              <w:jc w:val="both"/>
              <w:rPr>
                <w:lang w:val="en-US"/>
              </w:rPr>
            </w:pPr>
            <w:r w:rsidRPr="008B1593">
              <w:rPr>
                <w:lang w:val="en-US"/>
              </w:rPr>
              <w:t>&lt;…&gt;</w:t>
            </w:r>
          </w:p>
          <w:p w14:paraId="2CE5FEBC" w14:textId="77777777" w:rsidR="00542633" w:rsidRPr="008B1593" w:rsidRDefault="00542633" w:rsidP="00086D89">
            <w:pPr>
              <w:pStyle w:val="CommentText"/>
              <w:jc w:val="both"/>
              <w:rPr>
                <w:lang w:val="en-US"/>
              </w:rPr>
            </w:pPr>
            <w:r w:rsidRPr="008B1593">
              <w:rPr>
                <w:lang w:val="en-US"/>
              </w:rPr>
              <w:t>1.5. The entry/exit points regulated under these standard terms and conditions, where the gas can be input or off-taken from the common balancing zone are:</w:t>
            </w:r>
          </w:p>
          <w:p w14:paraId="0E6A36B6" w14:textId="77777777" w:rsidR="00542633" w:rsidRPr="008B1593" w:rsidRDefault="00542633" w:rsidP="00086D89">
            <w:pPr>
              <w:pStyle w:val="CommentText"/>
              <w:jc w:val="both"/>
              <w:rPr>
                <w:lang w:val="en-US"/>
              </w:rPr>
            </w:pPr>
            <w:r w:rsidRPr="008B1593">
              <w:rPr>
                <w:lang w:val="en-US"/>
              </w:rPr>
              <w:t>&lt;…&gt;</w:t>
            </w:r>
          </w:p>
          <w:p w14:paraId="1BC19160" w14:textId="77777777" w:rsidR="00542633" w:rsidRPr="008B1593" w:rsidRDefault="00542633" w:rsidP="00086D89">
            <w:pPr>
              <w:pStyle w:val="CommentText"/>
              <w:jc w:val="both"/>
              <w:rPr>
                <w:lang w:val="en-US"/>
              </w:rPr>
            </w:pPr>
            <w:r w:rsidRPr="008B1593">
              <w:rPr>
                <w:lang w:val="en-US"/>
              </w:rPr>
              <w:t>1.5.7. Entry from Estonian production</w:t>
            </w:r>
          </w:p>
          <w:p w14:paraId="6BF2DE9F" w14:textId="77777777" w:rsidR="00542633" w:rsidRPr="008B1593" w:rsidDel="00EF467B" w:rsidRDefault="00542633" w:rsidP="00086D89">
            <w:pPr>
              <w:pStyle w:val="CommentText"/>
              <w:jc w:val="both"/>
              <w:rPr>
                <w:lang w:val="en-US"/>
              </w:rPr>
            </w:pPr>
            <w:r w:rsidRPr="008B1593">
              <w:rPr>
                <w:lang w:val="en-US"/>
              </w:rPr>
              <w:t>1.5.8. Entry from Latvian production</w:t>
            </w:r>
          </w:p>
        </w:tc>
        <w:tc>
          <w:tcPr>
            <w:tcW w:w="6521" w:type="dxa"/>
          </w:tcPr>
          <w:p w14:paraId="5F53764A" w14:textId="2D508774" w:rsidR="00542633" w:rsidRPr="008B1593" w:rsidRDefault="00B83638" w:rsidP="00086D89">
            <w:pPr>
              <w:pStyle w:val="CommentText"/>
              <w:jc w:val="both"/>
              <w:rPr>
                <w:lang w:val="en-US"/>
              </w:rPr>
            </w:pPr>
            <w:r>
              <w:rPr>
                <w:b/>
                <w:lang w:val="en-US"/>
              </w:rPr>
              <w:t>Stakeholder 1</w:t>
            </w:r>
            <w:r w:rsidR="00542633">
              <w:rPr>
                <w:b/>
                <w:lang w:val="en-US"/>
              </w:rPr>
              <w:t>:</w:t>
            </w:r>
            <w:r w:rsidR="00542633" w:rsidRPr="008B1593">
              <w:rPr>
                <w:b/>
                <w:lang w:val="en-US"/>
              </w:rPr>
              <w:t xml:space="preserve"> </w:t>
            </w:r>
            <w:r w:rsidR="00542633" w:rsidRPr="008B1593">
              <w:rPr>
                <w:lang w:val="en-US"/>
              </w:rPr>
              <w:t xml:space="preserve">Paragraph 1.5 does not cover biogas entry points. EU energy law does not clearly define the definition of “natural gas production”. Thus, it must be clearly established within national legislation. Consequently, we would like to ask to amend the rules by clarifying the production definition by establishing if this definition covers both natural gas production via </w:t>
            </w:r>
            <w:r w:rsidR="00542633" w:rsidRPr="008B1593">
              <w:rPr>
                <w:i/>
                <w:lang w:val="en-US"/>
              </w:rPr>
              <w:t>upstream pipeline network</w:t>
            </w:r>
            <w:r w:rsidR="00542633" w:rsidRPr="008B1593">
              <w:rPr>
                <w:lang w:val="en-US"/>
              </w:rPr>
              <w:t xml:space="preserve"> (Directive 2009/73/EC of the European Parliament and of the Council of 13 July 2009 concerning common rules for the internal market in natural gas and repealing Directive 2003/55/EC (hereinafter – Gas Directive) Art. 2 (2)) and natural gas production from </w:t>
            </w:r>
            <w:r w:rsidR="00542633" w:rsidRPr="008B1593">
              <w:rPr>
                <w:i/>
                <w:lang w:val="en-US"/>
              </w:rPr>
              <w:t>renewable energy sources</w:t>
            </w:r>
            <w:r w:rsidR="00542633" w:rsidRPr="008B1593">
              <w:rPr>
                <w:lang w:val="en-US"/>
              </w:rPr>
              <w:t xml:space="preserve"> (biogas, biomethane).</w:t>
            </w:r>
          </w:p>
          <w:p w14:paraId="1FEDF0E4" w14:textId="77777777" w:rsidR="00542633" w:rsidRPr="008B1593" w:rsidDel="00EF467B" w:rsidRDefault="00542633" w:rsidP="00086D89">
            <w:pPr>
              <w:pStyle w:val="CommentText"/>
              <w:jc w:val="both"/>
              <w:rPr>
                <w:lang w:val="en-US"/>
              </w:rPr>
            </w:pPr>
            <w:r w:rsidRPr="008B1593">
              <w:rPr>
                <w:lang w:val="en-US"/>
              </w:rPr>
              <w:t>Rules should be applied to the biogas and biomethane entry points as well, regarding Regulation (EC) No 715/2009 of the European Parliament and of the Council of 13 July 2009 on conditions for access to the natural gas transmission networks and repealing Regulation (EC) No 1775/2005 (hereinafter</w:t>
            </w:r>
            <w:r w:rsidRPr="008B1593">
              <w:t> </w:t>
            </w:r>
            <w:r w:rsidRPr="008B1593">
              <w:rPr>
                <w:lang w:val="en-US"/>
              </w:rPr>
              <w:t>– Gas Regulation) Art. 14 (1) (a), Gas Directive recital 26, 41, Art. 32 (1).</w:t>
            </w:r>
          </w:p>
        </w:tc>
        <w:tc>
          <w:tcPr>
            <w:tcW w:w="6343" w:type="dxa"/>
          </w:tcPr>
          <w:p w14:paraId="063F25E9" w14:textId="3A710D77" w:rsidR="00542633" w:rsidRPr="00EF5298" w:rsidRDefault="00542633" w:rsidP="002C6798">
            <w:pPr>
              <w:pStyle w:val="CommentText"/>
              <w:jc w:val="both"/>
              <w:rPr>
                <w:lang w:val="en-US"/>
              </w:rPr>
            </w:pPr>
            <w:r w:rsidRPr="00EF5298">
              <w:rPr>
                <w:lang w:val="en-US"/>
              </w:rPr>
              <w:t>Taking into account current intense work on EU level on energy sector coup</w:t>
            </w:r>
            <w:r w:rsidR="00AA6058">
              <w:rPr>
                <w:lang w:val="en-US"/>
              </w:rPr>
              <w:t>ling and decarbonis</w:t>
            </w:r>
            <w:r w:rsidRPr="00EF5298">
              <w:rPr>
                <w:lang w:val="en-US"/>
              </w:rPr>
              <w:t xml:space="preserve">ation of energy, TSOs would not like to limit </w:t>
            </w:r>
            <w:r>
              <w:rPr>
                <w:lang w:val="en-US"/>
              </w:rPr>
              <w:t>the application of network rules</w:t>
            </w:r>
            <w:r w:rsidRPr="00EF5298">
              <w:rPr>
                <w:lang w:val="en-US"/>
              </w:rPr>
              <w:t xml:space="preserve"> to the narrow definition of “natural gas” which implies indirect reference only the fossil form of methane and not provides entry of other power-to-gas technologies rather than methane.</w:t>
            </w:r>
          </w:p>
          <w:p w14:paraId="3F9E0F45" w14:textId="77777777" w:rsidR="00542633" w:rsidRDefault="00542633" w:rsidP="0010433A">
            <w:pPr>
              <w:pStyle w:val="CommentText"/>
              <w:jc w:val="both"/>
              <w:rPr>
                <w:lang w:val="en-US"/>
              </w:rPr>
            </w:pPr>
            <w:r w:rsidRPr="00EF5298">
              <w:rPr>
                <w:lang w:val="en-US"/>
              </w:rPr>
              <w:t>In TSOs view the proposed wording of p. 1.5.7 and 1.5.8. covers all potential kinds of entry points from any kind of fossil or renewable gases production facilities into the transmission system as far as the gas to be injected into the network corresponds</w:t>
            </w:r>
            <w:r>
              <w:rPr>
                <w:lang w:val="en-US"/>
              </w:rPr>
              <w:t xml:space="preserve"> to</w:t>
            </w:r>
            <w:r w:rsidRPr="00EF5298">
              <w:rPr>
                <w:lang w:val="en-US"/>
              </w:rPr>
              <w:t xml:space="preserve"> the </w:t>
            </w:r>
            <w:r>
              <w:rPr>
                <w:lang w:val="en-US"/>
              </w:rPr>
              <w:t>applicable</w:t>
            </w:r>
            <w:r w:rsidRPr="00EF5298">
              <w:rPr>
                <w:lang w:val="en-US"/>
              </w:rPr>
              <w:t xml:space="preserve"> </w:t>
            </w:r>
            <w:r>
              <w:rPr>
                <w:lang w:val="en-US"/>
              </w:rPr>
              <w:t>technical rules and safety standards</w:t>
            </w:r>
            <w:r w:rsidRPr="00EF5298">
              <w:rPr>
                <w:lang w:val="en-US"/>
              </w:rPr>
              <w:t>.</w:t>
            </w:r>
          </w:p>
          <w:p w14:paraId="2DBCA9AD" w14:textId="2CC9881D" w:rsidR="00542633" w:rsidRDefault="00542633" w:rsidP="0010433A">
            <w:pPr>
              <w:pStyle w:val="CommentText"/>
              <w:jc w:val="both"/>
              <w:rPr>
                <w:lang w:val="en-US"/>
              </w:rPr>
            </w:pPr>
            <w:r>
              <w:rPr>
                <w:lang w:val="en-US"/>
              </w:rPr>
              <w:t xml:space="preserve">Currently different types of gases may be injected into the Latvian and Estonian natural gas transmission systems. Although, a specific nationally set technical and safety requirements, including quality specifications, apply to this. </w:t>
            </w:r>
          </w:p>
          <w:p w14:paraId="39C622FF" w14:textId="561B45FD" w:rsidR="00542633" w:rsidRDefault="00542633" w:rsidP="0010433A">
            <w:pPr>
              <w:pStyle w:val="CommentText"/>
              <w:jc w:val="both"/>
              <w:rPr>
                <w:lang w:val="en-US"/>
              </w:rPr>
            </w:pPr>
            <w:r>
              <w:rPr>
                <w:lang w:val="en-US"/>
              </w:rPr>
              <w:t>The accounting of biogas and gas produced from biomass, as well as LNG which has been turned into a gaseous state for input to the transmission system and determination of quality shall be ensured at the respective entry point of the transmission system. Whereas the network user shall ensure accounting of gas and determination of quality at the entry points to the transmission system, while the TSO shall carry out the same at the exit points from the transmission system.</w:t>
            </w:r>
          </w:p>
          <w:p w14:paraId="01395F9E" w14:textId="77777777" w:rsidR="00542633" w:rsidRDefault="00542633" w:rsidP="0010433A">
            <w:pPr>
              <w:pStyle w:val="CommentText"/>
              <w:jc w:val="both"/>
              <w:rPr>
                <w:lang w:val="en-US"/>
              </w:rPr>
            </w:pPr>
            <w:r>
              <w:rPr>
                <w:lang w:val="en-US"/>
              </w:rPr>
              <w:t xml:space="preserve">The analyzed provisions, in essence, mean that, according to Article 1(2) of the Gas Directive 2009/73, the rules contained in the said Gas Directive shall be applicable to all types of gas “in so far as such gases can technically and safely be injected into, and transported through, the natural gas system”. Taking into consideration Gas Directive recital 26 and 41, it is up to each Member State to establish the relevant technical rules and safety standards, </w:t>
            </w:r>
            <w:r>
              <w:rPr>
                <w:lang w:val="en-US"/>
              </w:rPr>
              <w:lastRenderedPageBreak/>
              <w:t>addressing their chemical characteristics, for different types of gases to be granted non-discriminatory access to the gas system. This means that different types of entry points from renewable energy sources can be explicitly foreseen in the network rules if the national legislation in question explicitly addresses the relevant technical rules and safety standards for a specific type of renewables or, alternatively, instead of physical injection of the renewable energy sources into the grid, a nationally established guarantee of origin mechanism could apply.</w:t>
            </w:r>
          </w:p>
          <w:p w14:paraId="1115CEBF" w14:textId="77777777" w:rsidR="00542633" w:rsidRPr="00EF5298" w:rsidRDefault="00542633" w:rsidP="0010433A">
            <w:pPr>
              <w:pStyle w:val="CommentText"/>
              <w:jc w:val="both"/>
              <w:rPr>
                <w:lang w:val="en-US"/>
              </w:rPr>
            </w:pPr>
          </w:p>
          <w:p w14:paraId="0CA93E85" w14:textId="60DDBC8E" w:rsidR="00542633" w:rsidRPr="00EF5298" w:rsidRDefault="00542633" w:rsidP="009115A8">
            <w:pPr>
              <w:pStyle w:val="CommentText"/>
              <w:jc w:val="both"/>
              <w:rPr>
                <w:color w:val="FF0000"/>
                <w:lang w:val="en-US"/>
              </w:rPr>
            </w:pPr>
            <w:r w:rsidRPr="009115A8">
              <w:rPr>
                <w:lang w:val="en-US"/>
              </w:rPr>
              <w:t xml:space="preserve">For clarification, TSOs </w:t>
            </w:r>
            <w:r>
              <w:rPr>
                <w:lang w:val="en-US"/>
              </w:rPr>
              <w:t>will add</w:t>
            </w:r>
            <w:r w:rsidRPr="009115A8">
              <w:rPr>
                <w:lang w:val="en-US"/>
              </w:rPr>
              <w:t xml:space="preserve"> </w:t>
            </w:r>
            <w:r>
              <w:rPr>
                <w:lang w:val="en-US"/>
              </w:rPr>
              <w:t>the</w:t>
            </w:r>
            <w:r w:rsidRPr="009115A8">
              <w:rPr>
                <w:lang w:val="en-US"/>
              </w:rPr>
              <w:t xml:space="preserve"> LNG entry point</w:t>
            </w:r>
            <w:r>
              <w:rPr>
                <w:lang w:val="en-US"/>
              </w:rPr>
              <w:t xml:space="preserve"> as the relevant point</w:t>
            </w:r>
            <w:r w:rsidRPr="009115A8">
              <w:rPr>
                <w:lang w:val="en-US"/>
              </w:rPr>
              <w:t xml:space="preserve"> and </w:t>
            </w:r>
            <w:r>
              <w:rPr>
                <w:lang w:val="en-US"/>
              </w:rPr>
              <w:t>the “p</w:t>
            </w:r>
            <w:r w:rsidRPr="009115A8">
              <w:rPr>
                <w:lang w:val="en-US"/>
              </w:rPr>
              <w:t>roduction</w:t>
            </w:r>
            <w:r>
              <w:rPr>
                <w:lang w:val="en-US"/>
              </w:rPr>
              <w:t>” definition to the network rules</w:t>
            </w:r>
            <w:r w:rsidRPr="009115A8">
              <w:rPr>
                <w:lang w:val="en-US"/>
              </w:rPr>
              <w:t>.</w:t>
            </w:r>
          </w:p>
        </w:tc>
      </w:tr>
      <w:tr w:rsidR="00542633" w:rsidRPr="008B1593" w14:paraId="59E9E629" w14:textId="77777777" w:rsidTr="00795AD6">
        <w:trPr>
          <w:trHeight w:val="659"/>
        </w:trPr>
        <w:tc>
          <w:tcPr>
            <w:tcW w:w="2830" w:type="dxa"/>
          </w:tcPr>
          <w:p w14:paraId="30F44B80" w14:textId="77777777" w:rsidR="00542633" w:rsidRPr="008B1593" w:rsidRDefault="00542633" w:rsidP="00086D89">
            <w:pPr>
              <w:suppressAutoHyphens/>
              <w:jc w:val="both"/>
              <w:rPr>
                <w:b/>
                <w:sz w:val="20"/>
                <w:szCs w:val="20"/>
                <w:lang w:val="en-US" w:eastAsia="lt-LT"/>
              </w:rPr>
            </w:pPr>
            <w:r w:rsidRPr="008B1593">
              <w:rPr>
                <w:bCs/>
                <w:sz w:val="20"/>
                <w:szCs w:val="20"/>
                <w:lang w:val="en-US" w:eastAsia="lt-LT"/>
              </w:rPr>
              <w:lastRenderedPageBreak/>
              <w:t>1.5.9. Exit to directly connected consumers to the gas transmission system.</w:t>
            </w:r>
          </w:p>
        </w:tc>
        <w:tc>
          <w:tcPr>
            <w:tcW w:w="6521" w:type="dxa"/>
          </w:tcPr>
          <w:p w14:paraId="27014C70" w14:textId="32D1FCFC" w:rsidR="00542633" w:rsidRPr="008B1593" w:rsidRDefault="00B83638" w:rsidP="00086D89">
            <w:pPr>
              <w:pStyle w:val="BodyText"/>
              <w:jc w:val="both"/>
              <w:rPr>
                <w:sz w:val="20"/>
                <w:szCs w:val="20"/>
                <w:lang w:val="en-US"/>
              </w:rPr>
            </w:pPr>
            <w:r>
              <w:rPr>
                <w:b/>
                <w:sz w:val="20"/>
                <w:szCs w:val="20"/>
                <w:lang w:val="en-US"/>
              </w:rPr>
              <w:t>Stakeholder 1</w:t>
            </w:r>
            <w:r w:rsidR="00542633">
              <w:rPr>
                <w:b/>
                <w:lang w:val="en-US"/>
              </w:rPr>
              <w:t>:</w:t>
            </w:r>
            <w:r w:rsidR="00542633" w:rsidRPr="008B1593">
              <w:rPr>
                <w:b/>
                <w:sz w:val="20"/>
                <w:szCs w:val="20"/>
                <w:lang w:val="en-US"/>
              </w:rPr>
              <w:t xml:space="preserve"> </w:t>
            </w:r>
            <w:r w:rsidR="00542633" w:rsidRPr="008B1593">
              <w:rPr>
                <w:position w:val="1"/>
                <w:sz w:val="20"/>
                <w:szCs w:val="20"/>
                <w:lang w:val="en-US"/>
              </w:rPr>
              <w:t>Exit to directly connected consumers to the gas transmission</w:t>
            </w:r>
            <w:r w:rsidR="00542633" w:rsidRPr="008B1593">
              <w:rPr>
                <w:spacing w:val="8"/>
                <w:position w:val="1"/>
                <w:sz w:val="20"/>
                <w:szCs w:val="20"/>
                <w:lang w:val="en-US"/>
              </w:rPr>
              <w:t xml:space="preserve"> </w:t>
            </w:r>
            <w:r w:rsidR="00542633" w:rsidRPr="008B1593">
              <w:rPr>
                <w:position w:val="1"/>
                <w:sz w:val="20"/>
                <w:szCs w:val="20"/>
                <w:lang w:val="en-US"/>
              </w:rPr>
              <w:t>system (paragraph 1.5.9) should be considered as an integral part of domestic exit point (paragraph 1.5.5, 1.5.6) and the same rules shall be applied.</w:t>
            </w:r>
          </w:p>
        </w:tc>
        <w:tc>
          <w:tcPr>
            <w:tcW w:w="6343" w:type="dxa"/>
          </w:tcPr>
          <w:p w14:paraId="77DE1D7B" w14:textId="77777777" w:rsidR="00542633" w:rsidRPr="00EF5298" w:rsidRDefault="00542633" w:rsidP="00A426A9">
            <w:pPr>
              <w:pStyle w:val="BodyText"/>
              <w:jc w:val="both"/>
              <w:rPr>
                <w:position w:val="1"/>
                <w:sz w:val="20"/>
                <w:szCs w:val="20"/>
                <w:lang w:val="en-US"/>
              </w:rPr>
            </w:pPr>
            <w:r w:rsidRPr="00EF5298">
              <w:rPr>
                <w:position w:val="1"/>
                <w:sz w:val="20"/>
                <w:szCs w:val="20"/>
                <w:lang w:val="en-US"/>
              </w:rPr>
              <w:t xml:space="preserve">Proposal </w:t>
            </w:r>
            <w:r>
              <w:rPr>
                <w:position w:val="1"/>
                <w:sz w:val="20"/>
                <w:szCs w:val="20"/>
                <w:lang w:val="en-US"/>
              </w:rPr>
              <w:t>taken into account.</w:t>
            </w:r>
            <w:r w:rsidRPr="00EF5298">
              <w:rPr>
                <w:position w:val="1"/>
                <w:sz w:val="20"/>
                <w:szCs w:val="20"/>
                <w:lang w:val="en-US"/>
              </w:rPr>
              <w:t xml:space="preserve"> </w:t>
            </w:r>
          </w:p>
        </w:tc>
      </w:tr>
      <w:tr w:rsidR="00542633" w:rsidRPr="008B1593" w14:paraId="71DA32D7" w14:textId="77777777" w:rsidTr="00795AD6">
        <w:trPr>
          <w:trHeight w:val="659"/>
        </w:trPr>
        <w:tc>
          <w:tcPr>
            <w:tcW w:w="2830" w:type="dxa"/>
          </w:tcPr>
          <w:p w14:paraId="7D2FA2AF" w14:textId="77777777" w:rsidR="00542633" w:rsidRPr="008B1593" w:rsidRDefault="00542633" w:rsidP="00086D89">
            <w:pPr>
              <w:tabs>
                <w:tab w:val="left" w:pos="851"/>
              </w:tabs>
              <w:suppressAutoHyphens/>
              <w:jc w:val="both"/>
              <w:textAlignment w:val="baseline"/>
              <w:rPr>
                <w:sz w:val="20"/>
                <w:szCs w:val="20"/>
                <w:lang w:val="en-US" w:eastAsia="lt-LT"/>
              </w:rPr>
            </w:pPr>
            <w:r w:rsidRPr="008B1593">
              <w:rPr>
                <w:b/>
                <w:sz w:val="20"/>
                <w:szCs w:val="20"/>
                <w:lang w:val="en-US" w:eastAsia="lt-LT"/>
              </w:rPr>
              <w:t>Definitions</w:t>
            </w:r>
          </w:p>
        </w:tc>
        <w:tc>
          <w:tcPr>
            <w:tcW w:w="6521" w:type="dxa"/>
          </w:tcPr>
          <w:p w14:paraId="27811414" w14:textId="7244664C" w:rsidR="00542633" w:rsidRPr="00F9682E" w:rsidRDefault="00B83638" w:rsidP="00086D89">
            <w:pPr>
              <w:suppressAutoHyphens/>
              <w:ind w:left="34"/>
              <w:jc w:val="both"/>
              <w:rPr>
                <w:sz w:val="20"/>
                <w:szCs w:val="20"/>
                <w:lang w:val="en-US" w:eastAsia="lt-LT"/>
              </w:rPr>
            </w:pPr>
            <w:r>
              <w:rPr>
                <w:b/>
                <w:sz w:val="20"/>
                <w:szCs w:val="20"/>
                <w:lang w:val="en-US"/>
              </w:rPr>
              <w:t>Stakeholder 1</w:t>
            </w:r>
            <w:r w:rsidR="00542633" w:rsidRPr="00F9682E">
              <w:rPr>
                <w:b/>
                <w:lang w:val="en-US"/>
              </w:rPr>
              <w:t>:</w:t>
            </w:r>
            <w:r w:rsidR="00542633" w:rsidRPr="00F9682E">
              <w:rPr>
                <w:b/>
                <w:sz w:val="20"/>
                <w:szCs w:val="20"/>
                <w:lang w:val="en-US"/>
              </w:rPr>
              <w:t xml:space="preserve"> </w:t>
            </w:r>
            <w:r w:rsidR="00542633" w:rsidRPr="00F9682E">
              <w:rPr>
                <w:sz w:val="20"/>
                <w:szCs w:val="20"/>
                <w:lang w:val="en-US" w:eastAsia="lt-LT"/>
              </w:rPr>
              <w:t xml:space="preserve">All definitions used in the Rules shall be in line with existing EU legislation. </w:t>
            </w:r>
            <w:r w:rsidR="00542633" w:rsidRPr="00F9682E">
              <w:rPr>
                <w:noProof/>
                <w:sz w:val="20"/>
                <w:szCs w:val="20"/>
                <w:lang w:val="en-US"/>
              </w:rPr>
              <w:t>Definitions which are already defined in the the EU legislation  should not be repeated in the Rules.</w:t>
            </w:r>
          </w:p>
          <w:p w14:paraId="1DEC0A86" w14:textId="77777777" w:rsidR="00542633" w:rsidRPr="00F9682E" w:rsidRDefault="00542633" w:rsidP="00086D89">
            <w:pPr>
              <w:suppressAutoHyphens/>
              <w:ind w:left="34"/>
              <w:jc w:val="both"/>
              <w:rPr>
                <w:sz w:val="20"/>
                <w:szCs w:val="20"/>
                <w:lang w:val="en-US" w:eastAsia="lt-LT"/>
              </w:rPr>
            </w:pPr>
            <w:r w:rsidRPr="00F9682E">
              <w:rPr>
                <w:sz w:val="20"/>
                <w:szCs w:val="20"/>
                <w:lang w:val="en-US" w:eastAsia="lt-LT"/>
              </w:rPr>
              <w:t>J</w:t>
            </w:r>
          </w:p>
        </w:tc>
        <w:tc>
          <w:tcPr>
            <w:tcW w:w="6343" w:type="dxa"/>
          </w:tcPr>
          <w:p w14:paraId="035C868F" w14:textId="77777777" w:rsidR="00542633" w:rsidRPr="007E4086" w:rsidRDefault="00542633" w:rsidP="00D21755">
            <w:pPr>
              <w:suppressAutoHyphens/>
              <w:ind w:left="34"/>
              <w:jc w:val="both"/>
              <w:rPr>
                <w:sz w:val="20"/>
                <w:szCs w:val="20"/>
                <w:lang w:val="en-US" w:eastAsia="lt-LT"/>
              </w:rPr>
            </w:pPr>
            <w:r w:rsidRPr="009115A8">
              <w:rPr>
                <w:sz w:val="20"/>
                <w:szCs w:val="20"/>
                <w:lang w:val="en-US" w:eastAsia="lt-LT"/>
              </w:rPr>
              <w:t xml:space="preserve">Proposal </w:t>
            </w:r>
            <w:r>
              <w:rPr>
                <w:sz w:val="20"/>
                <w:szCs w:val="20"/>
                <w:lang w:val="en-US" w:eastAsia="lt-LT"/>
              </w:rPr>
              <w:t>taken into account</w:t>
            </w:r>
            <w:r w:rsidRPr="009115A8">
              <w:rPr>
                <w:sz w:val="20"/>
                <w:szCs w:val="20"/>
                <w:lang w:val="en-US" w:eastAsia="lt-LT"/>
              </w:rPr>
              <w:t xml:space="preserve">. </w:t>
            </w:r>
            <w:r w:rsidRPr="00D21755">
              <w:rPr>
                <w:sz w:val="20"/>
                <w:szCs w:val="20"/>
                <w:lang w:val="en-US" w:eastAsia="lt-LT"/>
              </w:rPr>
              <w:t>A</w:t>
            </w:r>
            <w:r w:rsidRPr="007E4086">
              <w:rPr>
                <w:sz w:val="20"/>
                <w:szCs w:val="20"/>
                <w:lang w:val="en-US" w:eastAsia="lt-LT"/>
              </w:rPr>
              <w:t>ll definitions of terms which are invoked</w:t>
            </w:r>
            <w:r>
              <w:rPr>
                <w:sz w:val="20"/>
                <w:szCs w:val="20"/>
                <w:lang w:val="en-US" w:eastAsia="lt-LT"/>
              </w:rPr>
              <w:t xml:space="preserve"> </w:t>
            </w:r>
            <w:r w:rsidRPr="007E4086">
              <w:rPr>
                <w:sz w:val="20"/>
                <w:szCs w:val="20"/>
                <w:lang w:val="en-US" w:eastAsia="lt-LT"/>
              </w:rPr>
              <w:t>directly from the relevant EU legislation and not requiring further implementation into the network rules will be removed.</w:t>
            </w:r>
          </w:p>
        </w:tc>
      </w:tr>
      <w:tr w:rsidR="00542633" w:rsidRPr="008B1593" w14:paraId="7FDC2865" w14:textId="77777777" w:rsidTr="00795AD6">
        <w:trPr>
          <w:trHeight w:val="659"/>
        </w:trPr>
        <w:tc>
          <w:tcPr>
            <w:tcW w:w="2830" w:type="dxa"/>
          </w:tcPr>
          <w:p w14:paraId="5ADD4B3B" w14:textId="77777777" w:rsidR="00542633" w:rsidRPr="008B1593" w:rsidRDefault="00542633" w:rsidP="00086D89">
            <w:pPr>
              <w:tabs>
                <w:tab w:val="left" w:pos="851"/>
              </w:tabs>
              <w:suppressAutoHyphens/>
              <w:jc w:val="both"/>
              <w:textAlignment w:val="baseline"/>
              <w:rPr>
                <w:sz w:val="20"/>
                <w:szCs w:val="20"/>
                <w:lang w:val="en-US" w:eastAsia="lt-LT"/>
              </w:rPr>
            </w:pPr>
            <w:r w:rsidRPr="008B1593">
              <w:rPr>
                <w:sz w:val="20"/>
                <w:szCs w:val="20"/>
                <w:lang w:val="en-US" w:eastAsia="lt-LT"/>
              </w:rPr>
              <w:t>&lt;…&gt;</w:t>
            </w:r>
          </w:p>
        </w:tc>
        <w:tc>
          <w:tcPr>
            <w:tcW w:w="6521" w:type="dxa"/>
          </w:tcPr>
          <w:p w14:paraId="769BEA46" w14:textId="6126BC9E" w:rsidR="00542633" w:rsidRPr="008B1593" w:rsidRDefault="00B83638" w:rsidP="00086D89">
            <w:pPr>
              <w:pStyle w:val="CommentText"/>
              <w:jc w:val="both"/>
              <w:rPr>
                <w:lang w:val="en-US"/>
              </w:rPr>
            </w:pPr>
            <w:r>
              <w:rPr>
                <w:b/>
                <w:lang w:val="en-US"/>
              </w:rPr>
              <w:t>Stakeholder 1</w:t>
            </w:r>
            <w:r w:rsidR="00542633">
              <w:rPr>
                <w:b/>
                <w:lang w:val="en-US"/>
              </w:rPr>
              <w:t>:</w:t>
            </w:r>
            <w:r w:rsidR="00542633" w:rsidRPr="008B1593">
              <w:rPr>
                <w:b/>
                <w:lang w:val="en-US"/>
              </w:rPr>
              <w:t xml:space="preserve"> </w:t>
            </w:r>
            <w:r w:rsidR="00542633" w:rsidRPr="008B1593">
              <w:rPr>
                <w:lang w:val="en-US"/>
              </w:rPr>
              <w:t>We propose to add additional paragraph:</w:t>
            </w:r>
          </w:p>
          <w:p w14:paraId="56778972" w14:textId="77777777" w:rsidR="00542633" w:rsidRDefault="00542633" w:rsidP="00086D89">
            <w:pPr>
              <w:jc w:val="both"/>
              <w:rPr>
                <w:sz w:val="20"/>
                <w:szCs w:val="20"/>
                <w:lang w:val="en-US"/>
              </w:rPr>
            </w:pPr>
            <w:r w:rsidRPr="008B1593">
              <w:rPr>
                <w:sz w:val="20"/>
                <w:szCs w:val="20"/>
                <w:lang w:val="en-US"/>
              </w:rPr>
              <w:t>“</w:t>
            </w:r>
            <w:r w:rsidRPr="008B1593">
              <w:rPr>
                <w:i/>
                <w:sz w:val="20"/>
                <w:szCs w:val="20"/>
                <w:lang w:val="en-US"/>
              </w:rPr>
              <w:t>Other terms which are used in these Network Rules are understood as they defined in other EU energy legislation acts.</w:t>
            </w:r>
            <w:r w:rsidRPr="008B1593">
              <w:rPr>
                <w:sz w:val="20"/>
                <w:szCs w:val="20"/>
                <w:lang w:val="en-US"/>
              </w:rPr>
              <w:t>”</w:t>
            </w:r>
          </w:p>
          <w:p w14:paraId="42E0CABB" w14:textId="77777777" w:rsidR="00542633" w:rsidRPr="008B1593" w:rsidRDefault="00542633" w:rsidP="00086D89">
            <w:pPr>
              <w:jc w:val="both"/>
              <w:rPr>
                <w:i/>
                <w:sz w:val="20"/>
                <w:szCs w:val="20"/>
                <w:lang w:val="en-US"/>
              </w:rPr>
            </w:pPr>
          </w:p>
          <w:p w14:paraId="44CE4C7D" w14:textId="0A54A4CF" w:rsidR="00542633" w:rsidRDefault="00B83638" w:rsidP="00086D89">
            <w:pPr>
              <w:suppressAutoHyphens/>
              <w:ind w:left="34"/>
              <w:jc w:val="both"/>
              <w:rPr>
                <w:sz w:val="20"/>
                <w:szCs w:val="20"/>
                <w:lang w:val="en-US" w:eastAsia="lt-LT"/>
              </w:rPr>
            </w:pPr>
            <w:r>
              <w:rPr>
                <w:b/>
                <w:sz w:val="20"/>
                <w:szCs w:val="20"/>
                <w:lang w:val="en-US" w:eastAsia="lt-LT"/>
              </w:rPr>
              <w:t>Stakeholder 4</w:t>
            </w:r>
            <w:r w:rsidR="00542633">
              <w:rPr>
                <w:sz w:val="20"/>
                <w:szCs w:val="20"/>
                <w:lang w:val="en-US" w:eastAsia="lt-LT"/>
              </w:rPr>
              <w:t xml:space="preserve">: </w:t>
            </w:r>
          </w:p>
          <w:p w14:paraId="3959281C" w14:textId="77777777" w:rsidR="00542633" w:rsidRPr="004E5246" w:rsidRDefault="00542633" w:rsidP="00086D89">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heme="minorHAnsi"/>
                <w:sz w:val="20"/>
                <w:szCs w:val="20"/>
                <w:lang w:val="en-GB" w:eastAsia="en-GB"/>
              </w:rPr>
            </w:pPr>
            <w:r w:rsidRPr="004E5246">
              <w:rPr>
                <w:rFonts w:eastAsia="Times New Roman" w:cstheme="minorHAnsi"/>
                <w:sz w:val="20"/>
                <w:szCs w:val="20"/>
                <w:lang w:val="en-GB" w:eastAsia="en-GB"/>
              </w:rPr>
              <w:t xml:space="preserve">There should be a definition of “gas” to which these rules are being applied. Please also consider making a definition for “gas” broad and futureproof enough, so the injection of other gases (hydrogen for instance) would be anticipated in a future.  </w:t>
            </w:r>
          </w:p>
          <w:p w14:paraId="2C6485B3" w14:textId="77777777" w:rsidR="00542633" w:rsidRPr="004E5246" w:rsidRDefault="00542633" w:rsidP="00086D89">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heme="minorHAnsi"/>
                <w:sz w:val="20"/>
                <w:szCs w:val="20"/>
                <w:lang w:val="en-GB" w:eastAsia="en-GB"/>
              </w:rPr>
            </w:pPr>
            <w:r w:rsidRPr="004E5246">
              <w:rPr>
                <w:rFonts w:eastAsia="Times New Roman" w:cstheme="minorHAnsi"/>
                <w:sz w:val="20"/>
                <w:szCs w:val="20"/>
                <w:lang w:val="en-GB" w:eastAsia="en-GB"/>
              </w:rPr>
              <w:t>Please reconsider using the definition of “Bio natural gas - BNG.” “Biomethane” or similar would be much more common term. There is a term “biogas” used in p.7.1.5.2., one could guess that this is a synonym for BNG?</w:t>
            </w:r>
          </w:p>
          <w:p w14:paraId="276A0177" w14:textId="77777777" w:rsidR="00542633" w:rsidRPr="004E5246" w:rsidRDefault="00542633" w:rsidP="00086D89">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heme="minorHAnsi"/>
                <w:sz w:val="20"/>
                <w:szCs w:val="20"/>
                <w:lang w:val="en-GB" w:eastAsia="en-GB"/>
              </w:rPr>
            </w:pPr>
            <w:r w:rsidRPr="004E5246">
              <w:rPr>
                <w:rFonts w:eastAsia="Times New Roman" w:cstheme="minorHAnsi"/>
                <w:sz w:val="20"/>
                <w:szCs w:val="20"/>
                <w:lang w:val="en-GB" w:eastAsia="en-GB"/>
              </w:rPr>
              <w:t>Please define “production,” otherwise it may be confusing. As an example – is the biomethane injection from biomethane mobile storages a production of biomethane or not? Another example – is evaporated LNG a “production” of natural gas or not?</w:t>
            </w:r>
          </w:p>
          <w:p w14:paraId="28C6F91D" w14:textId="77777777" w:rsidR="00542633" w:rsidRPr="00BC6CE3" w:rsidRDefault="00542633" w:rsidP="00086D89">
            <w:pPr>
              <w:pStyle w:val="ListParagraph"/>
              <w:numPr>
                <w:ilvl w:val="0"/>
                <w:numId w:val="30"/>
              </w:numPr>
              <w:suppressAutoHyphens/>
              <w:jc w:val="both"/>
              <w:rPr>
                <w:sz w:val="20"/>
                <w:szCs w:val="20"/>
                <w:lang w:val="en-US" w:eastAsia="lt-LT"/>
              </w:rPr>
            </w:pPr>
            <w:r w:rsidRPr="004E5246">
              <w:rPr>
                <w:rFonts w:eastAsia="Times New Roman" w:cstheme="minorHAnsi"/>
                <w:sz w:val="20"/>
                <w:szCs w:val="20"/>
                <w:lang w:val="en-GB" w:eastAsia="en-GB"/>
              </w:rPr>
              <w:t>Definition of Entry point in p.2.20 includes a definitive list of physical points that are considered as Entry points. The potential of injecting (regasified) LNG or other gases that meet gas quality requirements into the grid, should also be considered.</w:t>
            </w:r>
          </w:p>
          <w:p w14:paraId="744FA0ED" w14:textId="77777777" w:rsidR="00542633" w:rsidRPr="00BC6CE3" w:rsidDel="00BE0700" w:rsidRDefault="00542633" w:rsidP="00BC6CE3">
            <w:pPr>
              <w:suppressAutoHyphens/>
              <w:jc w:val="both"/>
              <w:rPr>
                <w:sz w:val="20"/>
                <w:szCs w:val="20"/>
                <w:lang w:val="en-US" w:eastAsia="lt-LT"/>
              </w:rPr>
            </w:pPr>
          </w:p>
        </w:tc>
        <w:tc>
          <w:tcPr>
            <w:tcW w:w="6343" w:type="dxa"/>
          </w:tcPr>
          <w:p w14:paraId="2DDDAAAC" w14:textId="77777777" w:rsidR="00542633" w:rsidRPr="0062640B" w:rsidRDefault="00542633" w:rsidP="00086D89">
            <w:pPr>
              <w:pStyle w:val="CommentText"/>
              <w:jc w:val="both"/>
              <w:rPr>
                <w:lang w:val="en-US"/>
              </w:rPr>
            </w:pPr>
            <w:r w:rsidRPr="0062640B">
              <w:rPr>
                <w:lang w:val="en-US"/>
              </w:rPr>
              <w:t>Proposal taken into account (see comment above)</w:t>
            </w:r>
            <w:r>
              <w:rPr>
                <w:lang w:val="en-US"/>
              </w:rPr>
              <w:t>.</w:t>
            </w:r>
          </w:p>
          <w:p w14:paraId="2BE944A7" w14:textId="77777777" w:rsidR="00542633" w:rsidRPr="00EF5298" w:rsidRDefault="00542633" w:rsidP="00086D89">
            <w:pPr>
              <w:pStyle w:val="CommentText"/>
              <w:jc w:val="both"/>
              <w:rPr>
                <w:i/>
                <w:lang w:val="en-US"/>
              </w:rPr>
            </w:pPr>
          </w:p>
          <w:p w14:paraId="2EFB8F0A" w14:textId="77777777" w:rsidR="00542633" w:rsidRPr="00EF5298" w:rsidRDefault="00542633" w:rsidP="00086D89">
            <w:pPr>
              <w:pStyle w:val="CommentText"/>
              <w:jc w:val="both"/>
              <w:rPr>
                <w:i/>
                <w:lang w:val="en-US"/>
              </w:rPr>
            </w:pPr>
          </w:p>
          <w:p w14:paraId="03AB3A58" w14:textId="77777777" w:rsidR="00542633" w:rsidRPr="00EF5298" w:rsidRDefault="00542633" w:rsidP="00086D89">
            <w:pPr>
              <w:pStyle w:val="CommentText"/>
              <w:jc w:val="both"/>
              <w:rPr>
                <w:i/>
                <w:lang w:val="en-US"/>
              </w:rPr>
            </w:pPr>
          </w:p>
          <w:p w14:paraId="5AE9EEED" w14:textId="77777777" w:rsidR="00542633" w:rsidRPr="00EF5298" w:rsidRDefault="00542633" w:rsidP="00086D89">
            <w:pPr>
              <w:pStyle w:val="CommentText"/>
              <w:jc w:val="both"/>
              <w:rPr>
                <w:i/>
                <w:lang w:val="en-US"/>
              </w:rPr>
            </w:pPr>
          </w:p>
          <w:p w14:paraId="5B7FD356" w14:textId="77777777" w:rsidR="00542633" w:rsidRPr="0062640B" w:rsidRDefault="00542633" w:rsidP="00086D89">
            <w:pPr>
              <w:pStyle w:val="CommentText"/>
              <w:jc w:val="both"/>
              <w:rPr>
                <w:lang w:val="en-US"/>
              </w:rPr>
            </w:pPr>
            <w:r w:rsidRPr="00EF5298">
              <w:rPr>
                <w:i/>
                <w:lang w:val="en-US"/>
              </w:rPr>
              <w:t>1</w:t>
            </w:r>
            <w:r w:rsidRPr="0062640B">
              <w:rPr>
                <w:lang w:val="en-US"/>
              </w:rPr>
              <w:t xml:space="preserve">. Please see our comment above. Relevant national technical rules and safety standards define gas types which can be (physically) injected into transmission systems. </w:t>
            </w:r>
          </w:p>
          <w:p w14:paraId="51DB70E5" w14:textId="77777777" w:rsidR="00542633" w:rsidRPr="0062640B" w:rsidRDefault="00542633" w:rsidP="00086D89">
            <w:pPr>
              <w:pStyle w:val="CommentText"/>
              <w:jc w:val="both"/>
              <w:rPr>
                <w:lang w:val="en-US"/>
              </w:rPr>
            </w:pPr>
          </w:p>
          <w:p w14:paraId="6A86D52F" w14:textId="77777777" w:rsidR="00542633" w:rsidRPr="0062640B" w:rsidRDefault="00542633" w:rsidP="00086D89">
            <w:pPr>
              <w:pStyle w:val="CommentText"/>
              <w:jc w:val="both"/>
              <w:rPr>
                <w:lang w:val="en-US"/>
              </w:rPr>
            </w:pPr>
          </w:p>
          <w:p w14:paraId="51AD5DAA" w14:textId="77777777" w:rsidR="00542633" w:rsidRPr="0062640B" w:rsidRDefault="00542633" w:rsidP="00086D89">
            <w:pPr>
              <w:pStyle w:val="CommentText"/>
              <w:jc w:val="both"/>
              <w:rPr>
                <w:lang w:val="en-US"/>
              </w:rPr>
            </w:pPr>
          </w:p>
          <w:p w14:paraId="02EF2AB0" w14:textId="77777777" w:rsidR="00542633" w:rsidRPr="0062640B" w:rsidRDefault="00542633" w:rsidP="00086D89">
            <w:pPr>
              <w:pStyle w:val="CommentText"/>
              <w:jc w:val="both"/>
              <w:rPr>
                <w:lang w:val="en-US"/>
              </w:rPr>
            </w:pPr>
            <w:r w:rsidRPr="0062640B">
              <w:rPr>
                <w:lang w:val="en-US"/>
              </w:rPr>
              <w:t xml:space="preserve">2. Proposal taken into account. </w:t>
            </w:r>
          </w:p>
          <w:p w14:paraId="2C4552F1" w14:textId="77777777" w:rsidR="00542633" w:rsidRPr="00EF5298" w:rsidRDefault="00542633" w:rsidP="00086D89">
            <w:pPr>
              <w:pStyle w:val="CommentText"/>
              <w:jc w:val="both"/>
              <w:rPr>
                <w:lang w:val="en-US"/>
              </w:rPr>
            </w:pPr>
          </w:p>
          <w:p w14:paraId="7A8BB972" w14:textId="77777777" w:rsidR="00542633" w:rsidRPr="00EF5298" w:rsidRDefault="00542633" w:rsidP="00086D89">
            <w:pPr>
              <w:pStyle w:val="CommentText"/>
              <w:jc w:val="both"/>
              <w:rPr>
                <w:lang w:val="en-US"/>
              </w:rPr>
            </w:pPr>
          </w:p>
          <w:p w14:paraId="5D564FB6" w14:textId="77777777" w:rsidR="00542633" w:rsidRPr="00EF5298" w:rsidRDefault="00542633" w:rsidP="00086D89">
            <w:pPr>
              <w:pStyle w:val="CommentText"/>
              <w:jc w:val="both"/>
              <w:rPr>
                <w:i/>
                <w:lang w:val="en-US"/>
              </w:rPr>
            </w:pPr>
          </w:p>
          <w:p w14:paraId="533CD85A" w14:textId="77777777" w:rsidR="00542633" w:rsidRPr="00EF5298" w:rsidRDefault="00542633" w:rsidP="00086D89">
            <w:pPr>
              <w:pStyle w:val="CommentText"/>
              <w:jc w:val="both"/>
              <w:rPr>
                <w:i/>
                <w:lang w:val="en-US"/>
              </w:rPr>
            </w:pPr>
          </w:p>
          <w:p w14:paraId="6044C95D" w14:textId="42C1E974" w:rsidR="00542633" w:rsidRPr="00EF5298" w:rsidRDefault="00542633" w:rsidP="00086D89">
            <w:pPr>
              <w:pStyle w:val="CommentText"/>
              <w:jc w:val="both"/>
              <w:rPr>
                <w:lang w:val="en-US"/>
              </w:rPr>
            </w:pPr>
            <w:r w:rsidRPr="00EF5298">
              <w:rPr>
                <w:i/>
                <w:lang w:val="en-US"/>
              </w:rPr>
              <w:t>3</w:t>
            </w:r>
            <w:r w:rsidRPr="00EF5298">
              <w:rPr>
                <w:lang w:val="en-US"/>
              </w:rPr>
              <w:t xml:space="preserve">. Proposal </w:t>
            </w:r>
            <w:r>
              <w:rPr>
                <w:lang w:val="en-US"/>
              </w:rPr>
              <w:t>taken into account</w:t>
            </w:r>
            <w:r w:rsidRPr="00EF5298">
              <w:rPr>
                <w:lang w:val="en-US"/>
              </w:rPr>
              <w:t xml:space="preserve">. </w:t>
            </w:r>
            <w:r>
              <w:t xml:space="preserve"> </w:t>
            </w:r>
            <w:r>
              <w:rPr>
                <w:lang w:val="en-US"/>
              </w:rPr>
              <w:t>While</w:t>
            </w:r>
            <w:r w:rsidRPr="000B1A3E">
              <w:rPr>
                <w:lang w:val="en-US"/>
              </w:rPr>
              <w:t xml:space="preserve"> Latvian Energy Law </w:t>
            </w:r>
            <w:r>
              <w:rPr>
                <w:lang w:val="en-US"/>
              </w:rPr>
              <w:t xml:space="preserve">generally provides that </w:t>
            </w:r>
            <w:r w:rsidRPr="000B1A3E">
              <w:rPr>
                <w:lang w:val="en-US"/>
              </w:rPr>
              <w:t>the energy production is defined as the type of energy supply that incorporates the conversion of energy resources into energy necessary for use, and extraction of natural gas (including biomethane)</w:t>
            </w:r>
            <w:r>
              <w:rPr>
                <w:lang w:val="en-US"/>
              </w:rPr>
              <w:t>,  the network rules will describe in more detail different types of gases and their injection into the grid.</w:t>
            </w:r>
          </w:p>
          <w:p w14:paraId="49EDD85D" w14:textId="77777777" w:rsidR="00542633" w:rsidRPr="00EF5298" w:rsidRDefault="00542633" w:rsidP="00086D89">
            <w:pPr>
              <w:pStyle w:val="CommentText"/>
              <w:jc w:val="both"/>
              <w:rPr>
                <w:lang w:val="en-US"/>
              </w:rPr>
            </w:pPr>
          </w:p>
          <w:p w14:paraId="449250FC" w14:textId="77777777" w:rsidR="00542633" w:rsidRPr="00EF5298" w:rsidRDefault="00542633" w:rsidP="00086D89">
            <w:pPr>
              <w:pStyle w:val="CommentText"/>
              <w:jc w:val="both"/>
              <w:rPr>
                <w:lang w:val="en-US"/>
              </w:rPr>
            </w:pPr>
          </w:p>
          <w:p w14:paraId="3C39AE49" w14:textId="77777777" w:rsidR="00542633" w:rsidRPr="00EF5298" w:rsidRDefault="00542633" w:rsidP="00086D89">
            <w:pPr>
              <w:pStyle w:val="CommentText"/>
              <w:jc w:val="both"/>
              <w:rPr>
                <w:lang w:val="en-US"/>
              </w:rPr>
            </w:pPr>
          </w:p>
          <w:p w14:paraId="0BDFFF17" w14:textId="77777777" w:rsidR="00542633" w:rsidRPr="00EF5298" w:rsidRDefault="00542633" w:rsidP="00086D89">
            <w:pPr>
              <w:pStyle w:val="CommentText"/>
              <w:jc w:val="both"/>
              <w:rPr>
                <w:lang w:val="en-US"/>
              </w:rPr>
            </w:pPr>
            <w:r>
              <w:rPr>
                <w:lang w:val="en-US"/>
              </w:rPr>
              <w:t xml:space="preserve">4. </w:t>
            </w:r>
            <w:r w:rsidRPr="00EF5298">
              <w:rPr>
                <w:lang w:val="en-US"/>
              </w:rPr>
              <w:t xml:space="preserve">Proposal </w:t>
            </w:r>
            <w:r>
              <w:rPr>
                <w:lang w:val="en-US"/>
              </w:rPr>
              <w:t>taken into account. Section 1.5. to be amended in order to include different types of gases and their injection into the grid.</w:t>
            </w:r>
          </w:p>
          <w:p w14:paraId="2B49BD4B" w14:textId="77777777" w:rsidR="00542633" w:rsidRPr="00EF5298" w:rsidRDefault="00542633" w:rsidP="00086D89">
            <w:pPr>
              <w:pStyle w:val="CommentText"/>
              <w:jc w:val="both"/>
              <w:rPr>
                <w:lang w:val="en-US"/>
              </w:rPr>
            </w:pPr>
          </w:p>
          <w:p w14:paraId="46EFB8F8" w14:textId="77777777" w:rsidR="00542633" w:rsidRPr="00EF5298" w:rsidRDefault="00542633" w:rsidP="00086D89">
            <w:pPr>
              <w:pStyle w:val="CommentText"/>
              <w:jc w:val="both"/>
              <w:rPr>
                <w:lang w:val="en-US"/>
              </w:rPr>
            </w:pPr>
          </w:p>
        </w:tc>
      </w:tr>
      <w:tr w:rsidR="00542633" w:rsidRPr="008B1593" w14:paraId="41E2C843" w14:textId="77777777" w:rsidTr="00795AD6">
        <w:trPr>
          <w:trHeight w:val="659"/>
        </w:trPr>
        <w:tc>
          <w:tcPr>
            <w:tcW w:w="2830" w:type="dxa"/>
          </w:tcPr>
          <w:p w14:paraId="3C06AFB1" w14:textId="77777777" w:rsidR="00542633" w:rsidRPr="008B1593" w:rsidRDefault="00542633" w:rsidP="00086D89">
            <w:pPr>
              <w:tabs>
                <w:tab w:val="left" w:pos="1276"/>
              </w:tabs>
              <w:suppressAutoHyphens/>
              <w:jc w:val="both"/>
              <w:textAlignment w:val="baseline"/>
              <w:rPr>
                <w:sz w:val="20"/>
                <w:szCs w:val="20"/>
                <w:lang w:val="en-US" w:eastAsia="lt-LT"/>
              </w:rPr>
            </w:pPr>
            <w:r w:rsidRPr="008B1593">
              <w:rPr>
                <w:sz w:val="20"/>
                <w:szCs w:val="20"/>
                <w:lang w:val="en-US" w:eastAsia="lt-LT"/>
              </w:rPr>
              <w:lastRenderedPageBreak/>
              <w:t>2.2. Allocation means the quantity of gas attributed to a network user by a TSO as an input or an off- take expressed in kWh units.</w:t>
            </w:r>
          </w:p>
        </w:tc>
        <w:tc>
          <w:tcPr>
            <w:tcW w:w="6521" w:type="dxa"/>
          </w:tcPr>
          <w:p w14:paraId="678EDCA9" w14:textId="6A3BCCB6" w:rsidR="00542633" w:rsidRPr="008B1593" w:rsidRDefault="00B83638" w:rsidP="00086D89">
            <w:pPr>
              <w:pStyle w:val="CommentText"/>
              <w:jc w:val="both"/>
              <w:rPr>
                <w:lang w:val="en-US"/>
              </w:rPr>
            </w:pPr>
            <w:r>
              <w:rPr>
                <w:b/>
                <w:lang w:val="en-US"/>
              </w:rPr>
              <w:t>Stakeholder 1</w:t>
            </w:r>
            <w:r w:rsidR="00542633">
              <w:rPr>
                <w:b/>
                <w:lang w:val="en-US"/>
              </w:rPr>
              <w:t>:</w:t>
            </w:r>
            <w:r w:rsidR="00542633" w:rsidRPr="008B1593">
              <w:rPr>
                <w:b/>
                <w:lang w:val="en-US"/>
              </w:rPr>
              <w:t xml:space="preserve"> </w:t>
            </w:r>
            <w:r w:rsidR="00542633" w:rsidRPr="008B1593">
              <w:rPr>
                <w:lang w:val="en-US"/>
              </w:rPr>
              <w:t>Commission Regulation (EU) No 312/2014 of 26 March 2014 establishing a Network Code on Gas Balancing of Transmission Networks (hereinafter – BAL NC) Art 3 (15) definition:</w:t>
            </w:r>
          </w:p>
          <w:p w14:paraId="6EB4248C" w14:textId="77777777" w:rsidR="00542633" w:rsidRPr="008B1593" w:rsidRDefault="00542633" w:rsidP="00086D89">
            <w:pPr>
              <w:pStyle w:val="CommentText"/>
              <w:jc w:val="both"/>
              <w:rPr>
                <w:lang w:val="en-US"/>
              </w:rPr>
            </w:pPr>
            <w:r w:rsidRPr="008B1593">
              <w:rPr>
                <w:lang w:val="en-US"/>
              </w:rPr>
              <w:t>“‘</w:t>
            </w:r>
            <w:r w:rsidRPr="008B1593">
              <w:rPr>
                <w:i/>
                <w:lang w:val="en-US"/>
              </w:rPr>
              <w:t xml:space="preserve">allocation’ means the quantity of gas attributed to a network user by a transmission system operator as an input or an off-take expressed in kWh </w:t>
            </w:r>
            <w:r w:rsidRPr="008B1593">
              <w:rPr>
                <w:b/>
                <w:i/>
                <w:lang w:val="en-US"/>
              </w:rPr>
              <w:t>for the purpose of determining the daily imbalance quantity</w:t>
            </w:r>
            <w:r w:rsidRPr="008B1593">
              <w:rPr>
                <w:lang w:val="en-US"/>
              </w:rPr>
              <w:t>;”</w:t>
            </w:r>
          </w:p>
        </w:tc>
        <w:tc>
          <w:tcPr>
            <w:tcW w:w="6343" w:type="dxa"/>
          </w:tcPr>
          <w:p w14:paraId="0FEAF0F2" w14:textId="73146B0F" w:rsidR="00542633" w:rsidRPr="00EF5298" w:rsidRDefault="00542633" w:rsidP="00E928D5">
            <w:pPr>
              <w:pStyle w:val="CommentText"/>
              <w:jc w:val="both"/>
              <w:rPr>
                <w:i/>
                <w:lang w:val="en-US"/>
              </w:rPr>
            </w:pPr>
            <w:r w:rsidRPr="00E928D5">
              <w:rPr>
                <w:lang w:val="en-US"/>
              </w:rPr>
              <w:t>Proposal taken into account.</w:t>
            </w:r>
            <w:r w:rsidRPr="00EF5298">
              <w:rPr>
                <w:i/>
                <w:lang w:val="en-US"/>
              </w:rPr>
              <w:t xml:space="preserve"> </w:t>
            </w:r>
          </w:p>
        </w:tc>
      </w:tr>
      <w:tr w:rsidR="00542633" w:rsidRPr="008B1593" w14:paraId="7C57172E" w14:textId="77777777" w:rsidTr="00795AD6">
        <w:trPr>
          <w:trHeight w:val="659"/>
        </w:trPr>
        <w:tc>
          <w:tcPr>
            <w:tcW w:w="2830" w:type="dxa"/>
          </w:tcPr>
          <w:p w14:paraId="34297F4B" w14:textId="77777777" w:rsidR="00542633" w:rsidRPr="008B1593" w:rsidRDefault="00542633" w:rsidP="00086D89">
            <w:pPr>
              <w:tabs>
                <w:tab w:val="left" w:pos="1276"/>
              </w:tabs>
              <w:suppressAutoHyphens/>
              <w:jc w:val="both"/>
              <w:textAlignment w:val="baseline"/>
              <w:rPr>
                <w:sz w:val="20"/>
                <w:szCs w:val="20"/>
                <w:lang w:val="en-US" w:eastAsia="lt-LT"/>
              </w:rPr>
            </w:pPr>
            <w:r w:rsidRPr="008B1593">
              <w:rPr>
                <w:sz w:val="20"/>
                <w:szCs w:val="20"/>
                <w:lang w:val="en-US" w:eastAsia="lt-LT"/>
              </w:rPr>
              <w:t>2.9. Common balancing zone means the combined area of the natural gas transmission networks in Estonia and Latvia where these standard terms and conditions apply.</w:t>
            </w:r>
          </w:p>
        </w:tc>
        <w:tc>
          <w:tcPr>
            <w:tcW w:w="6521" w:type="dxa"/>
          </w:tcPr>
          <w:p w14:paraId="370528A1" w14:textId="323E1D09" w:rsidR="00542633" w:rsidRPr="008B1593" w:rsidRDefault="00B83638" w:rsidP="00086D89">
            <w:pPr>
              <w:pStyle w:val="CommentText"/>
              <w:jc w:val="both"/>
              <w:rPr>
                <w:lang w:val="en-US"/>
              </w:rPr>
            </w:pPr>
            <w:r>
              <w:rPr>
                <w:b/>
                <w:lang w:val="en-US"/>
              </w:rPr>
              <w:t>Stakeholder 1</w:t>
            </w:r>
            <w:r w:rsidR="00542633">
              <w:rPr>
                <w:b/>
                <w:lang w:val="en-US"/>
              </w:rPr>
              <w:t>:</w:t>
            </w:r>
            <w:r w:rsidR="00542633" w:rsidRPr="008B1593">
              <w:rPr>
                <w:b/>
                <w:lang w:val="en-US"/>
              </w:rPr>
              <w:t xml:space="preserve"> </w:t>
            </w:r>
            <w:r w:rsidR="00542633" w:rsidRPr="008B1593">
              <w:rPr>
                <w:lang w:val="en-US"/>
              </w:rPr>
              <w:t>We suggest linking this definition with an existing definition of BAL NC Art. 3 (1) “balancing zone”:</w:t>
            </w:r>
          </w:p>
          <w:p w14:paraId="5BF46DCC" w14:textId="77777777" w:rsidR="00542633" w:rsidRPr="008B1593" w:rsidRDefault="00542633" w:rsidP="00086D89">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both"/>
              <w:rPr>
                <w:lang w:val="en-US"/>
              </w:rPr>
            </w:pPr>
            <w:r w:rsidRPr="008B1593">
              <w:rPr>
                <w:i/>
                <w:lang w:val="en-US"/>
              </w:rPr>
              <w:t>“‘balancing zone’ means an entry-exit system to which a specific balancing regime is applicable and which may include distribution systems or part of them;</w:t>
            </w:r>
            <w:r w:rsidRPr="008B1593">
              <w:rPr>
                <w:lang w:val="en-US"/>
              </w:rPr>
              <w:t>”</w:t>
            </w:r>
          </w:p>
          <w:p w14:paraId="4B25059F" w14:textId="77777777" w:rsidR="00542633" w:rsidRPr="008B1593" w:rsidRDefault="00542633" w:rsidP="00086D89">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both"/>
              <w:rPr>
                <w:lang w:val="en-US"/>
              </w:rPr>
            </w:pPr>
            <w:r w:rsidRPr="008B1593">
              <w:rPr>
                <w:lang w:val="en-US"/>
              </w:rPr>
              <w:t>Thus:</w:t>
            </w:r>
          </w:p>
          <w:p w14:paraId="66558EC9" w14:textId="77777777" w:rsidR="00542633" w:rsidRPr="008B1593" w:rsidRDefault="00542633" w:rsidP="00086D89">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both"/>
              <w:rPr>
                <w:lang w:val="en-US"/>
              </w:rPr>
            </w:pPr>
            <w:r w:rsidRPr="008B1593">
              <w:rPr>
                <w:lang w:val="en-US"/>
              </w:rPr>
              <w:t>“</w:t>
            </w:r>
            <w:r w:rsidRPr="008B1593">
              <w:rPr>
                <w:i/>
                <w:lang w:val="en-US"/>
              </w:rPr>
              <w:t xml:space="preserve">Common balancing zone means the combined area of </w:t>
            </w:r>
            <w:r w:rsidRPr="008B1593">
              <w:rPr>
                <w:i/>
                <w:strike/>
                <w:lang w:val="en-US"/>
              </w:rPr>
              <w:t>the natural gas transmission networks in Estonia and Latvia  common</w:t>
            </w:r>
            <w:r w:rsidRPr="008B1593">
              <w:rPr>
                <w:i/>
                <w:lang w:val="en-US"/>
              </w:rPr>
              <w:t xml:space="preserve"> Estonian and Latvian</w:t>
            </w:r>
            <w:r w:rsidRPr="008B1593">
              <w:rPr>
                <w:b/>
                <w:i/>
                <w:lang w:val="en-US"/>
              </w:rPr>
              <w:t xml:space="preserve"> balancing zones</w:t>
            </w:r>
            <w:r w:rsidRPr="008B1593">
              <w:rPr>
                <w:i/>
                <w:lang w:val="en-US"/>
              </w:rPr>
              <w:t xml:space="preserve"> where these standard terms and conditions apply</w:t>
            </w:r>
            <w:r w:rsidRPr="008B1593">
              <w:rPr>
                <w:lang w:val="en-US"/>
              </w:rPr>
              <w:t>.”</w:t>
            </w:r>
          </w:p>
          <w:p w14:paraId="7B538FAE" w14:textId="77777777" w:rsidR="00542633" w:rsidRPr="008B1593" w:rsidRDefault="00542633" w:rsidP="00086D89">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both"/>
              <w:rPr>
                <w:lang w:val="en-US"/>
              </w:rPr>
            </w:pPr>
          </w:p>
          <w:p w14:paraId="4FBBFE2C" w14:textId="77777777" w:rsidR="00542633" w:rsidRPr="008B1593" w:rsidRDefault="00542633" w:rsidP="00086D89">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both"/>
              <w:rPr>
                <w:lang w:val="en-US"/>
              </w:rPr>
            </w:pPr>
            <w:r w:rsidRPr="008B1593">
              <w:rPr>
                <w:lang w:val="en-US"/>
              </w:rPr>
              <w:t>Also, new balancing zone shall acquire EIC code</w:t>
            </w:r>
            <w:r w:rsidRPr="008B1593">
              <w:rPr>
                <w:rStyle w:val="FootnoteReference"/>
                <w:lang w:val="en-US"/>
              </w:rPr>
              <w:footnoteReference w:id="1"/>
            </w:r>
            <w:r w:rsidRPr="008B1593">
              <w:rPr>
                <w:lang w:val="en-US"/>
              </w:rPr>
              <w:t>, thus the definition could be linked with it.</w:t>
            </w:r>
          </w:p>
        </w:tc>
        <w:tc>
          <w:tcPr>
            <w:tcW w:w="6343" w:type="dxa"/>
          </w:tcPr>
          <w:p w14:paraId="7A12B07A" w14:textId="77777777" w:rsidR="00542633" w:rsidRPr="00E928D5" w:rsidRDefault="00542633" w:rsidP="00086D89">
            <w:pPr>
              <w:pStyle w:val="CommentText"/>
              <w:jc w:val="both"/>
              <w:rPr>
                <w:lang w:val="en-US"/>
              </w:rPr>
            </w:pPr>
            <w:r w:rsidRPr="00E928D5">
              <w:rPr>
                <w:lang w:val="en-US"/>
              </w:rPr>
              <w:t>Proposal taken into account.</w:t>
            </w:r>
          </w:p>
          <w:p w14:paraId="3A093800" w14:textId="77777777" w:rsidR="00542633" w:rsidRPr="00EF5298" w:rsidRDefault="00542633" w:rsidP="00086D89">
            <w:pPr>
              <w:pStyle w:val="CommentText"/>
              <w:jc w:val="both"/>
              <w:rPr>
                <w:i/>
                <w:lang w:val="en-US"/>
              </w:rPr>
            </w:pPr>
          </w:p>
          <w:p w14:paraId="0EB61F43" w14:textId="77777777" w:rsidR="00542633" w:rsidRPr="00EF5298" w:rsidRDefault="00542633" w:rsidP="00086D89">
            <w:pPr>
              <w:pStyle w:val="CommentText"/>
              <w:jc w:val="both"/>
              <w:rPr>
                <w:i/>
                <w:lang w:val="en-US"/>
              </w:rPr>
            </w:pPr>
          </w:p>
          <w:p w14:paraId="7BD9F6D9" w14:textId="77777777" w:rsidR="00542633" w:rsidRPr="00EF5298" w:rsidRDefault="00542633" w:rsidP="00086D89">
            <w:pPr>
              <w:pStyle w:val="CommentText"/>
              <w:jc w:val="both"/>
              <w:rPr>
                <w:i/>
                <w:lang w:val="en-US"/>
              </w:rPr>
            </w:pPr>
          </w:p>
          <w:p w14:paraId="73DFD4CC" w14:textId="77777777" w:rsidR="00542633" w:rsidRPr="00EF5298" w:rsidRDefault="00542633" w:rsidP="00086D89">
            <w:pPr>
              <w:pStyle w:val="CommentText"/>
              <w:jc w:val="both"/>
              <w:rPr>
                <w:i/>
                <w:lang w:val="en-US"/>
              </w:rPr>
            </w:pPr>
          </w:p>
          <w:p w14:paraId="6CF37A96" w14:textId="77777777" w:rsidR="00542633" w:rsidRPr="00EF5298" w:rsidRDefault="00542633" w:rsidP="00086D89">
            <w:pPr>
              <w:pStyle w:val="CommentText"/>
              <w:jc w:val="both"/>
              <w:rPr>
                <w:i/>
                <w:lang w:val="en-US"/>
              </w:rPr>
            </w:pPr>
          </w:p>
          <w:p w14:paraId="53B2BCA9" w14:textId="77777777" w:rsidR="00542633" w:rsidRPr="00EF5298" w:rsidRDefault="00542633" w:rsidP="00086D89">
            <w:pPr>
              <w:pStyle w:val="CommentText"/>
              <w:jc w:val="both"/>
              <w:rPr>
                <w:i/>
                <w:lang w:val="en-US"/>
              </w:rPr>
            </w:pPr>
          </w:p>
          <w:p w14:paraId="0AFC7617" w14:textId="77777777" w:rsidR="00542633" w:rsidRPr="00EF5298" w:rsidRDefault="00542633" w:rsidP="00086D89">
            <w:pPr>
              <w:pStyle w:val="CommentText"/>
              <w:jc w:val="both"/>
              <w:rPr>
                <w:i/>
                <w:lang w:val="en-US"/>
              </w:rPr>
            </w:pPr>
          </w:p>
          <w:p w14:paraId="124B09E7" w14:textId="77777777" w:rsidR="00542633" w:rsidRPr="00EF5298" w:rsidRDefault="00542633" w:rsidP="00086D89">
            <w:pPr>
              <w:pStyle w:val="CommentText"/>
              <w:jc w:val="both"/>
              <w:rPr>
                <w:i/>
                <w:lang w:val="en-US"/>
              </w:rPr>
            </w:pPr>
          </w:p>
          <w:p w14:paraId="63C7A993" w14:textId="77777777" w:rsidR="00542633" w:rsidRPr="00EF5298" w:rsidRDefault="00542633" w:rsidP="00973B97">
            <w:pPr>
              <w:pStyle w:val="CommentText"/>
              <w:jc w:val="both"/>
              <w:rPr>
                <w:lang w:val="en-US"/>
              </w:rPr>
            </w:pPr>
          </w:p>
        </w:tc>
      </w:tr>
      <w:tr w:rsidR="00542633" w:rsidRPr="008B1593" w14:paraId="4860E6D9" w14:textId="77777777" w:rsidTr="00795AD6">
        <w:trPr>
          <w:trHeight w:val="659"/>
        </w:trPr>
        <w:tc>
          <w:tcPr>
            <w:tcW w:w="2830" w:type="dxa"/>
          </w:tcPr>
          <w:p w14:paraId="3421478F" w14:textId="77777777" w:rsidR="00542633" w:rsidRPr="008B1593" w:rsidRDefault="00542633" w:rsidP="00086D89">
            <w:pPr>
              <w:tabs>
                <w:tab w:val="left" w:pos="1276"/>
              </w:tabs>
              <w:suppressAutoHyphens/>
              <w:jc w:val="both"/>
              <w:textAlignment w:val="baseline"/>
              <w:rPr>
                <w:sz w:val="20"/>
                <w:szCs w:val="20"/>
                <w:lang w:val="en-US" w:eastAsia="lt-LT"/>
              </w:rPr>
            </w:pPr>
            <w:r w:rsidRPr="008B1593">
              <w:rPr>
                <w:sz w:val="20"/>
                <w:szCs w:val="20"/>
                <w:lang w:val="en-US" w:eastAsia="lt-LT"/>
              </w:rPr>
              <w:t>2.20. Entry point means a physical point where gas is delivered to the transmission system from the adjacent transmission system, UGS or BNG producer site and where the transmission of gas through the natural gas transmission system begins.</w:t>
            </w:r>
          </w:p>
        </w:tc>
        <w:tc>
          <w:tcPr>
            <w:tcW w:w="6521" w:type="dxa"/>
          </w:tcPr>
          <w:p w14:paraId="7BC2F88F" w14:textId="7B2A5927" w:rsidR="00542633" w:rsidRPr="008B1593" w:rsidRDefault="00B83638" w:rsidP="00086D89">
            <w:pPr>
              <w:pStyle w:val="CommentText"/>
              <w:jc w:val="both"/>
              <w:rPr>
                <w:lang w:val="en-US"/>
              </w:rPr>
            </w:pPr>
            <w:r>
              <w:rPr>
                <w:b/>
                <w:lang w:val="en-US"/>
              </w:rPr>
              <w:t>Stakeholder 1</w:t>
            </w:r>
            <w:r w:rsidR="00542633">
              <w:rPr>
                <w:b/>
                <w:lang w:val="en-US"/>
              </w:rPr>
              <w:t>:</w:t>
            </w:r>
            <w:r w:rsidR="00542633" w:rsidRPr="008B1593">
              <w:rPr>
                <w:b/>
                <w:lang w:val="en-US"/>
              </w:rPr>
              <w:t xml:space="preserve"> </w:t>
            </w:r>
            <w:r w:rsidR="00542633" w:rsidRPr="008B1593">
              <w:rPr>
                <w:lang w:val="en-US"/>
              </w:rPr>
              <w:t>Entry point definition does not include option if the virtual interconnection point (VIP) is used.</w:t>
            </w:r>
          </w:p>
          <w:p w14:paraId="01C68E53" w14:textId="77777777" w:rsidR="00542633" w:rsidRPr="008B1593" w:rsidRDefault="00542633" w:rsidP="00086D89">
            <w:pPr>
              <w:pStyle w:val="CommentText"/>
              <w:jc w:val="both"/>
              <w:rPr>
                <w:lang w:val="en-US"/>
              </w:rPr>
            </w:pPr>
            <w:r w:rsidRPr="008B1593">
              <w:rPr>
                <w:lang w:val="en-US"/>
              </w:rPr>
              <w:t>Also, aggregated physical gas intake entry points (e. g. biogas production etc.), o aggregated physical gas off-take exit point (i. e. domestic exit point) does not fall within this definition. LNG SO point is not included as well.</w:t>
            </w:r>
          </w:p>
          <w:p w14:paraId="394EA9BE" w14:textId="77777777" w:rsidR="00542633" w:rsidRPr="008B1593" w:rsidRDefault="00542633" w:rsidP="00086D89">
            <w:pPr>
              <w:pStyle w:val="CommentText"/>
              <w:jc w:val="both"/>
              <w:rPr>
                <w:lang w:val="en-US"/>
              </w:rPr>
            </w:pPr>
          </w:p>
          <w:p w14:paraId="19D2C295" w14:textId="77777777" w:rsidR="00542633" w:rsidRPr="008B1593" w:rsidRDefault="00542633" w:rsidP="00086D89">
            <w:pPr>
              <w:pStyle w:val="CommentText"/>
              <w:jc w:val="both"/>
              <w:rPr>
                <w:lang w:val="en-US"/>
              </w:rPr>
            </w:pPr>
            <w:r w:rsidRPr="008B1593">
              <w:rPr>
                <w:lang w:val="en-US"/>
              </w:rPr>
              <w:t>Please provide entry point and exit point definition with a broader meaning which covers all types of points, infrastructure, legal entities. Thus, there would be no necessity to update definitions on a yearly basis every year.</w:t>
            </w:r>
          </w:p>
        </w:tc>
        <w:tc>
          <w:tcPr>
            <w:tcW w:w="6343" w:type="dxa"/>
          </w:tcPr>
          <w:p w14:paraId="457F8F77" w14:textId="77777777" w:rsidR="00542633" w:rsidRPr="00EF5298" w:rsidRDefault="00542633" w:rsidP="00F51D52">
            <w:pPr>
              <w:pStyle w:val="CommentText"/>
              <w:jc w:val="both"/>
              <w:rPr>
                <w:lang w:val="en-US"/>
              </w:rPr>
            </w:pPr>
            <w:r>
              <w:rPr>
                <w:lang w:val="en-US"/>
              </w:rPr>
              <w:t>According to CAM NC Article 3(23) the virtual interconnection point</w:t>
            </w:r>
            <w:r w:rsidRPr="00725AEF">
              <w:rPr>
                <w:lang w:val="en-US"/>
              </w:rPr>
              <w:t xml:space="preserve"> means </w:t>
            </w:r>
            <w:r>
              <w:rPr>
                <w:lang w:val="en-US"/>
              </w:rPr>
              <w:t>“</w:t>
            </w:r>
            <w:r w:rsidRPr="00725AEF">
              <w:rPr>
                <w:i/>
                <w:lang w:val="en-US"/>
              </w:rPr>
              <w:t>two or more interconnection points which connect the same two adjacent entry-exit systems, integrated together for the purposes of providing a single capacity service</w:t>
            </w:r>
            <w:r>
              <w:rPr>
                <w:lang w:val="en-US"/>
              </w:rPr>
              <w:t>”. Whereas common balancing zone</w:t>
            </w:r>
            <w:r w:rsidRPr="00EF5298">
              <w:rPr>
                <w:lang w:val="en-US"/>
              </w:rPr>
              <w:t xml:space="preserve"> of Estonia</w:t>
            </w:r>
            <w:r>
              <w:rPr>
                <w:lang w:val="en-US"/>
              </w:rPr>
              <w:t xml:space="preserve"> (in future with Finland)</w:t>
            </w:r>
            <w:r w:rsidRPr="00EF5298">
              <w:rPr>
                <w:lang w:val="en-US"/>
              </w:rPr>
              <w:t xml:space="preserve"> and Latvia</w:t>
            </w:r>
            <w:r>
              <w:rPr>
                <w:lang w:val="en-US"/>
              </w:rPr>
              <w:t xml:space="preserve"> (with Lithuania)</w:t>
            </w:r>
            <w:r w:rsidRPr="00EF5298">
              <w:rPr>
                <w:lang w:val="en-US"/>
              </w:rPr>
              <w:t xml:space="preserve"> neither have more than one interconnection point with </w:t>
            </w:r>
            <w:r>
              <w:rPr>
                <w:lang w:val="en-US"/>
              </w:rPr>
              <w:t xml:space="preserve">the </w:t>
            </w:r>
            <w:r w:rsidRPr="00EF5298">
              <w:rPr>
                <w:lang w:val="en-US"/>
              </w:rPr>
              <w:t>adjacent EU member state</w:t>
            </w:r>
            <w:r>
              <w:rPr>
                <w:lang w:val="en-US"/>
              </w:rPr>
              <w:t>s</w:t>
            </w:r>
            <w:r w:rsidRPr="00EF5298">
              <w:rPr>
                <w:lang w:val="en-US"/>
              </w:rPr>
              <w:t xml:space="preserve"> </w:t>
            </w:r>
            <w:r>
              <w:rPr>
                <w:lang w:val="en-US"/>
              </w:rPr>
              <w:t>with</w:t>
            </w:r>
            <w:r w:rsidRPr="00EF5298">
              <w:rPr>
                <w:lang w:val="en-US"/>
              </w:rPr>
              <w:t xml:space="preserve">in the meaning of Article 3(2) of CAM NC, nor creation of </w:t>
            </w:r>
            <w:r>
              <w:rPr>
                <w:lang w:val="en-US"/>
              </w:rPr>
              <w:t>other interconnector qualifying as an interconnection point</w:t>
            </w:r>
            <w:r w:rsidRPr="00EF5298">
              <w:rPr>
                <w:lang w:val="en-US"/>
              </w:rPr>
              <w:t xml:space="preserve"> is foreseen by TYNDP</w:t>
            </w:r>
            <w:r>
              <w:rPr>
                <w:lang w:val="en-US"/>
              </w:rPr>
              <w:t>.</w:t>
            </w:r>
            <w:r w:rsidRPr="00EF5298">
              <w:rPr>
                <w:lang w:val="en-US"/>
              </w:rPr>
              <w:t xml:space="preserve"> </w:t>
            </w:r>
          </w:p>
          <w:p w14:paraId="49AFB10E" w14:textId="77777777" w:rsidR="00542633" w:rsidRDefault="00542633" w:rsidP="00F51D52">
            <w:pPr>
              <w:pStyle w:val="CommentText"/>
              <w:jc w:val="both"/>
              <w:rPr>
                <w:lang w:val="en-US"/>
              </w:rPr>
            </w:pPr>
          </w:p>
          <w:p w14:paraId="74284458" w14:textId="77777777" w:rsidR="00542633" w:rsidRDefault="00542633" w:rsidP="00F51D52">
            <w:pPr>
              <w:pStyle w:val="CommentText"/>
              <w:jc w:val="both"/>
              <w:rPr>
                <w:lang w:val="en-US"/>
              </w:rPr>
            </w:pPr>
            <w:r>
              <w:rPr>
                <w:lang w:val="en-US"/>
              </w:rPr>
              <w:t xml:space="preserve">Proposal taken into account. Section 2.20. and Section 2.22. to be amended </w:t>
            </w:r>
            <w:r>
              <w:t xml:space="preserve"> </w:t>
            </w:r>
            <w:r w:rsidRPr="008713FE">
              <w:rPr>
                <w:lang w:val="en-US"/>
              </w:rPr>
              <w:t>in order to include different types of gases and their injection</w:t>
            </w:r>
            <w:r>
              <w:rPr>
                <w:lang w:val="en-US"/>
              </w:rPr>
              <w:t>/withdrawal</w:t>
            </w:r>
            <w:r w:rsidRPr="008713FE">
              <w:rPr>
                <w:lang w:val="en-US"/>
              </w:rPr>
              <w:t xml:space="preserve"> into</w:t>
            </w:r>
            <w:r>
              <w:rPr>
                <w:lang w:val="en-US"/>
              </w:rPr>
              <w:t xml:space="preserve"> and from</w:t>
            </w:r>
            <w:r w:rsidRPr="008713FE">
              <w:rPr>
                <w:lang w:val="en-US"/>
              </w:rPr>
              <w:t xml:space="preserve"> the grid</w:t>
            </w:r>
            <w:r>
              <w:rPr>
                <w:lang w:val="en-US"/>
              </w:rPr>
              <w:t>.</w:t>
            </w:r>
          </w:p>
          <w:p w14:paraId="47D2D124" w14:textId="77777777" w:rsidR="00542633" w:rsidRPr="00EF5298" w:rsidRDefault="00542633" w:rsidP="00F51D52">
            <w:pPr>
              <w:pStyle w:val="CommentText"/>
              <w:jc w:val="both"/>
              <w:rPr>
                <w:lang w:val="en-US"/>
              </w:rPr>
            </w:pPr>
          </w:p>
          <w:p w14:paraId="7DAE1E94" w14:textId="77777777" w:rsidR="00542633" w:rsidRPr="008713FE" w:rsidRDefault="00542633" w:rsidP="00F51D52">
            <w:pPr>
              <w:pStyle w:val="CommentText"/>
              <w:jc w:val="both"/>
              <w:rPr>
                <w:lang w:val="lv-LV"/>
              </w:rPr>
            </w:pPr>
          </w:p>
        </w:tc>
      </w:tr>
      <w:tr w:rsidR="00542633" w:rsidRPr="008B1593" w14:paraId="4E26D3DD" w14:textId="77777777" w:rsidTr="00795AD6">
        <w:trPr>
          <w:trHeight w:val="659"/>
        </w:trPr>
        <w:tc>
          <w:tcPr>
            <w:tcW w:w="2830" w:type="dxa"/>
          </w:tcPr>
          <w:p w14:paraId="4884EB19" w14:textId="77777777" w:rsidR="00542633" w:rsidRPr="008B1593" w:rsidRDefault="00542633" w:rsidP="00086D89">
            <w:pPr>
              <w:suppressAutoHyphens/>
              <w:jc w:val="both"/>
              <w:textAlignment w:val="baseline"/>
              <w:rPr>
                <w:sz w:val="20"/>
                <w:szCs w:val="20"/>
                <w:lang w:val="en-US" w:eastAsia="lt-LT"/>
              </w:rPr>
            </w:pPr>
            <w:r w:rsidRPr="008B1593">
              <w:rPr>
                <w:sz w:val="20"/>
                <w:szCs w:val="20"/>
                <w:lang w:val="en-US" w:eastAsia="lt-LT"/>
              </w:rPr>
              <w:lastRenderedPageBreak/>
              <w:t>2.31. Implicit capacity allocation means a capacity allocation method where both transmission capacity and a corresponding quantity of gas are allocated at the same time.</w:t>
            </w:r>
          </w:p>
        </w:tc>
        <w:tc>
          <w:tcPr>
            <w:tcW w:w="6521" w:type="dxa"/>
          </w:tcPr>
          <w:p w14:paraId="2E3BF6E0" w14:textId="1A6039A0" w:rsidR="00542633" w:rsidRPr="008B1593" w:rsidRDefault="00B83638" w:rsidP="00086D89">
            <w:pPr>
              <w:pStyle w:val="CommentText"/>
              <w:jc w:val="both"/>
              <w:rPr>
                <w:lang w:val="en-US"/>
              </w:rPr>
            </w:pPr>
            <w:r>
              <w:rPr>
                <w:b/>
                <w:lang w:val="en-US"/>
              </w:rPr>
              <w:t>Stakeholder 1</w:t>
            </w:r>
            <w:r w:rsidR="00542633">
              <w:rPr>
                <w:b/>
                <w:lang w:val="en-US"/>
              </w:rPr>
              <w:t>:</w:t>
            </w:r>
            <w:r w:rsidR="00542633" w:rsidRPr="008B1593">
              <w:rPr>
                <w:b/>
                <w:lang w:val="en-US"/>
              </w:rPr>
              <w:t xml:space="preserve"> </w:t>
            </w:r>
            <w:r w:rsidR="00542633" w:rsidRPr="008B1593">
              <w:rPr>
                <w:lang w:val="en-US"/>
              </w:rPr>
              <w:t>Commission Regulation (EU) 2017/459 of 16 March 2017 establishing a network code on capacity allocation mechanisms in gas transmission systems and repealing Regulation (EU) No 984/2013 (hereinafter – CAM NC) Art. 2 proposes different definition</w:t>
            </w:r>
            <w:r w:rsidR="00542633" w:rsidRPr="008B1593">
              <w:rPr>
                <w:noProof/>
                <w:lang w:val="en-US"/>
              </w:rPr>
              <w:t>:</w:t>
            </w:r>
          </w:p>
          <w:p w14:paraId="4D7AAC37" w14:textId="77777777" w:rsidR="00542633" w:rsidRPr="008B1593" w:rsidRDefault="00542633" w:rsidP="00086D89">
            <w:pPr>
              <w:pStyle w:val="CommentText"/>
              <w:jc w:val="both"/>
              <w:rPr>
                <w:i/>
                <w:lang w:val="en-US"/>
              </w:rPr>
            </w:pPr>
            <w:r w:rsidRPr="008B1593">
              <w:rPr>
                <w:i/>
                <w:lang w:val="en-US"/>
              </w:rPr>
              <w:t xml:space="preserve">‘implicit allocation method’ means a capacity allocation method where, </w:t>
            </w:r>
            <w:r w:rsidRPr="008B1593">
              <w:rPr>
                <w:b/>
                <w:i/>
                <w:lang w:val="en-US"/>
              </w:rPr>
              <w:t>possibly by means of an auction</w:t>
            </w:r>
            <w:r w:rsidRPr="008B1593">
              <w:rPr>
                <w:i/>
                <w:lang w:val="en-US"/>
              </w:rPr>
              <w:t>, both transmission capacity and a corresponding quantity of gas are allocated at the same time;</w:t>
            </w:r>
          </w:p>
          <w:p w14:paraId="762DA6B3" w14:textId="77777777" w:rsidR="00542633" w:rsidRPr="008B1593" w:rsidRDefault="00542633" w:rsidP="00086D89">
            <w:pPr>
              <w:pStyle w:val="CommentText"/>
              <w:jc w:val="both"/>
              <w:rPr>
                <w:b/>
                <w:lang w:val="en-US"/>
              </w:rPr>
            </w:pPr>
          </w:p>
          <w:p w14:paraId="5061105F" w14:textId="77777777" w:rsidR="00542633" w:rsidRPr="008B1593" w:rsidRDefault="00542633" w:rsidP="00086D89">
            <w:pPr>
              <w:pStyle w:val="CommentText"/>
              <w:jc w:val="both"/>
              <w:rPr>
                <w:lang w:val="en-US"/>
              </w:rPr>
            </w:pPr>
            <w:r w:rsidRPr="008B1593">
              <w:rPr>
                <w:lang w:val="en-US"/>
              </w:rPr>
              <w:t>It is noted that implicit allocation method definition was adjusted with the Regulation 2017/459. This is an open issue since NRA-TSO proposal for the implicit capacity allocation (hereinafter</w:t>
            </w:r>
            <w:r w:rsidRPr="008B1593">
              <w:rPr>
                <w:lang w:val="en-US" w:eastAsia="lt-LT"/>
              </w:rPr>
              <w:t xml:space="preserve"> – </w:t>
            </w:r>
            <w:r w:rsidRPr="008B1593">
              <w:rPr>
                <w:lang w:val="en-US"/>
              </w:rPr>
              <w:t xml:space="preserve">ICA) model was based on the old CAM NC version of Regulation 984/2013 </w:t>
            </w:r>
          </w:p>
          <w:p w14:paraId="36BDE35B" w14:textId="77777777" w:rsidR="00542633" w:rsidRPr="008B1593" w:rsidRDefault="00542633" w:rsidP="00086D89">
            <w:pPr>
              <w:pStyle w:val="CommentText"/>
              <w:jc w:val="both"/>
              <w:rPr>
                <w:lang w:val="en-US"/>
              </w:rPr>
            </w:pPr>
          </w:p>
          <w:p w14:paraId="2DC7E18B" w14:textId="77777777" w:rsidR="00542633" w:rsidRPr="008B1593" w:rsidRDefault="00542633" w:rsidP="00086D89">
            <w:pPr>
              <w:pStyle w:val="CommentText"/>
              <w:jc w:val="both"/>
              <w:rPr>
                <w:lang w:val="en-US"/>
              </w:rPr>
            </w:pPr>
            <w:r w:rsidRPr="008B1593">
              <w:rPr>
                <w:lang w:val="en-US"/>
              </w:rPr>
              <w:t>We encourage TSOs to consider if there is a market need to apply the auction trading algorithm based ICA model and if it could be implemented and could bring benefits to the network users.</w:t>
            </w:r>
          </w:p>
        </w:tc>
        <w:tc>
          <w:tcPr>
            <w:tcW w:w="6343" w:type="dxa"/>
          </w:tcPr>
          <w:p w14:paraId="68244FE9" w14:textId="77777777" w:rsidR="00542633" w:rsidRPr="00E928D5" w:rsidRDefault="00542633" w:rsidP="009D3784">
            <w:pPr>
              <w:pStyle w:val="CommentText"/>
              <w:jc w:val="both"/>
              <w:rPr>
                <w:lang w:val="en-US"/>
              </w:rPr>
            </w:pPr>
            <w:r w:rsidRPr="00E928D5">
              <w:rPr>
                <w:lang w:val="en-US"/>
              </w:rPr>
              <w:t>Proposal in relation to the removal of definition taken into account.</w:t>
            </w:r>
          </w:p>
          <w:p w14:paraId="541A833F" w14:textId="77777777" w:rsidR="00542633" w:rsidRDefault="00542633" w:rsidP="009D3784">
            <w:pPr>
              <w:pStyle w:val="CommentText"/>
              <w:jc w:val="both"/>
              <w:rPr>
                <w:i/>
                <w:lang w:val="en-US"/>
              </w:rPr>
            </w:pPr>
          </w:p>
          <w:p w14:paraId="1829ED6B" w14:textId="77777777" w:rsidR="00542633" w:rsidRPr="000152F5" w:rsidRDefault="00542633" w:rsidP="009D3784">
            <w:pPr>
              <w:pStyle w:val="CommentText"/>
              <w:jc w:val="both"/>
              <w:rPr>
                <w:lang w:val="en-US"/>
              </w:rPr>
            </w:pPr>
            <w:r w:rsidRPr="000152F5">
              <w:rPr>
                <w:lang w:val="en-US"/>
              </w:rPr>
              <w:t xml:space="preserve">There is currently no necessity to apply the auction trading algorithm based on the implicit capacity allocation model as the existing model is efficient and there is no congestion experienced in relation to the capacity allocated to the network users. </w:t>
            </w:r>
          </w:p>
          <w:p w14:paraId="1B85DA12" w14:textId="77777777" w:rsidR="00542633" w:rsidRPr="00EF5298" w:rsidRDefault="00542633" w:rsidP="009D3784">
            <w:pPr>
              <w:pStyle w:val="CommentText"/>
              <w:jc w:val="both"/>
              <w:rPr>
                <w:i/>
                <w:lang w:val="en-US"/>
              </w:rPr>
            </w:pPr>
          </w:p>
        </w:tc>
      </w:tr>
      <w:tr w:rsidR="00542633" w:rsidRPr="008B1593" w14:paraId="1B0696AA" w14:textId="77777777" w:rsidTr="00795AD6">
        <w:trPr>
          <w:trHeight w:val="659"/>
        </w:trPr>
        <w:tc>
          <w:tcPr>
            <w:tcW w:w="2830" w:type="dxa"/>
          </w:tcPr>
          <w:p w14:paraId="429AAB1D" w14:textId="77777777" w:rsidR="00542633" w:rsidRPr="008B1593" w:rsidRDefault="00542633" w:rsidP="00086D89">
            <w:pPr>
              <w:tabs>
                <w:tab w:val="left" w:pos="1276"/>
              </w:tabs>
              <w:suppressAutoHyphens/>
              <w:jc w:val="both"/>
              <w:textAlignment w:val="baseline"/>
              <w:rPr>
                <w:sz w:val="20"/>
                <w:szCs w:val="20"/>
                <w:lang w:val="en-US" w:eastAsia="lt-LT"/>
              </w:rPr>
            </w:pPr>
            <w:r w:rsidRPr="008B1593">
              <w:rPr>
                <w:sz w:val="20"/>
                <w:szCs w:val="20"/>
                <w:lang w:val="en-US" w:eastAsia="lt-LT"/>
              </w:rPr>
              <w:t>2.32. Interconnection point (hereinafter: IP) means a physical or virtual point connecting the adjacent entry-exit systems or connecting an entry-exit system with an interconnector, in so far as these points are subject to booking procedures by the network users; or an IP of the transmission system to the neighbouring transmission systems, or any other gas system.</w:t>
            </w:r>
          </w:p>
        </w:tc>
        <w:tc>
          <w:tcPr>
            <w:tcW w:w="6521" w:type="dxa"/>
          </w:tcPr>
          <w:p w14:paraId="42A34B9B" w14:textId="3236438E" w:rsidR="00542633" w:rsidRPr="008B1593" w:rsidRDefault="00B83638" w:rsidP="00086D8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bdr w:val="none" w:sz="0" w:space="0" w:color="auto"/>
                <w:lang w:val="en-US" w:eastAsia="lt-LT"/>
              </w:rPr>
            </w:pPr>
            <w:r>
              <w:rPr>
                <w:b/>
                <w:sz w:val="20"/>
                <w:szCs w:val="20"/>
                <w:lang w:val="en-US"/>
              </w:rPr>
              <w:t>Stakeholder 1</w:t>
            </w:r>
            <w:r w:rsidR="00542633">
              <w:rPr>
                <w:b/>
                <w:lang w:val="en-US"/>
              </w:rPr>
              <w:t>:</w:t>
            </w:r>
            <w:r w:rsidR="00542633" w:rsidRPr="008B1593">
              <w:rPr>
                <w:b/>
                <w:sz w:val="20"/>
                <w:szCs w:val="20"/>
                <w:lang w:val="en-US"/>
              </w:rPr>
              <w:t xml:space="preserve"> </w:t>
            </w:r>
            <w:r w:rsidR="00542633" w:rsidRPr="008B1593">
              <w:rPr>
                <w:sz w:val="20"/>
                <w:szCs w:val="20"/>
                <w:lang w:val="en-US"/>
              </w:rPr>
              <w:t>Regarding the CAM NC Article 2 (1) we suggest adding two separate definitions in order to have a clear definitions distinction – “interconnection point” is a point between Member states. Entry or exit point between Member State and non-Member State shall be called differently. I. e. entry point from third country or exit point to third country.</w:t>
            </w:r>
          </w:p>
        </w:tc>
        <w:tc>
          <w:tcPr>
            <w:tcW w:w="6343" w:type="dxa"/>
          </w:tcPr>
          <w:p w14:paraId="0D984B82" w14:textId="77777777" w:rsidR="00542633" w:rsidRPr="00E928D5" w:rsidRDefault="00542633" w:rsidP="00086D8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sz w:val="20"/>
                <w:szCs w:val="20"/>
                <w:lang w:val="en-US"/>
              </w:rPr>
            </w:pPr>
            <w:r w:rsidRPr="00E928D5">
              <w:rPr>
                <w:sz w:val="20"/>
                <w:szCs w:val="20"/>
                <w:lang w:val="en-US"/>
              </w:rPr>
              <w:t>Proposal taken into account.</w:t>
            </w:r>
          </w:p>
        </w:tc>
      </w:tr>
      <w:tr w:rsidR="00542633" w:rsidRPr="008B1593" w14:paraId="2EB9724F" w14:textId="77777777" w:rsidTr="00795AD6">
        <w:trPr>
          <w:trHeight w:val="659"/>
        </w:trPr>
        <w:tc>
          <w:tcPr>
            <w:tcW w:w="2830" w:type="dxa"/>
          </w:tcPr>
          <w:p w14:paraId="66CEAB15" w14:textId="77777777" w:rsidR="00542633" w:rsidRPr="008B1593" w:rsidRDefault="00542633" w:rsidP="00086D89">
            <w:pPr>
              <w:tabs>
                <w:tab w:val="left" w:pos="1276"/>
              </w:tabs>
              <w:suppressAutoHyphens/>
              <w:jc w:val="both"/>
              <w:textAlignment w:val="baseline"/>
              <w:rPr>
                <w:sz w:val="20"/>
                <w:szCs w:val="20"/>
                <w:lang w:val="en-US" w:eastAsia="lt-LT"/>
              </w:rPr>
            </w:pPr>
            <w:r w:rsidRPr="008B1593">
              <w:rPr>
                <w:sz w:val="20"/>
                <w:szCs w:val="20"/>
                <w:lang w:val="en-US" w:eastAsia="lt-LT"/>
              </w:rPr>
              <w:t>2.39. Network user is an entity who:</w:t>
            </w:r>
          </w:p>
          <w:p w14:paraId="21862EBB" w14:textId="77777777" w:rsidR="00542633" w:rsidRDefault="00542633" w:rsidP="00086D89">
            <w:pPr>
              <w:tabs>
                <w:tab w:val="left" w:pos="1276"/>
              </w:tabs>
              <w:suppressAutoHyphens/>
              <w:jc w:val="both"/>
              <w:textAlignment w:val="baseline"/>
              <w:rPr>
                <w:sz w:val="20"/>
                <w:szCs w:val="20"/>
                <w:lang w:val="en-US" w:eastAsia="lt-LT"/>
              </w:rPr>
            </w:pPr>
            <w:r w:rsidRPr="008B1593">
              <w:rPr>
                <w:sz w:val="20"/>
                <w:szCs w:val="20"/>
                <w:lang w:val="en-US" w:eastAsia="lt-LT"/>
              </w:rPr>
              <w:t xml:space="preserve">2.39.1. Transport gas to/from transmission network via entry-exit points and/or      </w:t>
            </w:r>
          </w:p>
          <w:p w14:paraId="33BB7734" w14:textId="77777777" w:rsidR="00542633" w:rsidRPr="008B1593" w:rsidRDefault="00542633" w:rsidP="00086D89">
            <w:pPr>
              <w:tabs>
                <w:tab w:val="left" w:pos="1276"/>
              </w:tabs>
              <w:suppressAutoHyphens/>
              <w:jc w:val="both"/>
              <w:textAlignment w:val="baseline"/>
              <w:rPr>
                <w:sz w:val="20"/>
                <w:szCs w:val="20"/>
                <w:lang w:val="en-US" w:eastAsia="lt-LT"/>
              </w:rPr>
            </w:pPr>
            <w:r w:rsidRPr="008B1593">
              <w:rPr>
                <w:sz w:val="20"/>
                <w:szCs w:val="20"/>
                <w:lang w:val="en-US" w:eastAsia="lt-LT"/>
              </w:rPr>
              <w:t>2.39.2. Trades gas to/from VTP as trading participant and/or</w:t>
            </w:r>
          </w:p>
          <w:p w14:paraId="39D8D35E" w14:textId="77777777" w:rsidR="00542633" w:rsidRPr="008B1593" w:rsidRDefault="00542633" w:rsidP="00086D89">
            <w:pPr>
              <w:tabs>
                <w:tab w:val="left" w:pos="1276"/>
              </w:tabs>
              <w:suppressAutoHyphens/>
              <w:jc w:val="both"/>
              <w:textAlignment w:val="baseline"/>
              <w:rPr>
                <w:sz w:val="20"/>
                <w:szCs w:val="20"/>
                <w:lang w:val="en-US" w:eastAsia="lt-LT"/>
              </w:rPr>
            </w:pPr>
            <w:r w:rsidRPr="008B1593">
              <w:rPr>
                <w:sz w:val="20"/>
                <w:szCs w:val="20"/>
                <w:lang w:val="en-US" w:eastAsia="lt-LT"/>
              </w:rPr>
              <w:t>2.39.3. Books and uses capacity under a transmission service agreement.</w:t>
            </w:r>
          </w:p>
        </w:tc>
        <w:tc>
          <w:tcPr>
            <w:tcW w:w="6521" w:type="dxa"/>
          </w:tcPr>
          <w:p w14:paraId="4E318FF2" w14:textId="7EA3547A" w:rsidR="00542633" w:rsidRPr="008B1593" w:rsidRDefault="00B83638" w:rsidP="00086D8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bdr w:val="none" w:sz="0" w:space="0" w:color="auto"/>
                <w:lang w:val="en-US" w:eastAsia="lt-LT"/>
              </w:rPr>
            </w:pPr>
            <w:r>
              <w:rPr>
                <w:b/>
                <w:sz w:val="20"/>
                <w:szCs w:val="20"/>
                <w:lang w:val="en-US"/>
              </w:rPr>
              <w:t>Stakeholder 1</w:t>
            </w:r>
            <w:r w:rsidR="00542633">
              <w:rPr>
                <w:b/>
                <w:lang w:val="en-US"/>
              </w:rPr>
              <w:t>:</w:t>
            </w:r>
            <w:r w:rsidR="00542633" w:rsidRPr="008B1593">
              <w:rPr>
                <w:b/>
                <w:sz w:val="20"/>
                <w:szCs w:val="20"/>
                <w:lang w:val="en-US"/>
              </w:rPr>
              <w:t xml:space="preserve"> </w:t>
            </w:r>
            <w:r w:rsidR="00542633" w:rsidRPr="008B1593">
              <w:rPr>
                <w:rFonts w:eastAsia="Times New Roman"/>
                <w:sz w:val="20"/>
                <w:szCs w:val="20"/>
                <w:bdr w:val="none" w:sz="0" w:space="0" w:color="auto"/>
                <w:lang w:val="en-US" w:eastAsia="lt-LT"/>
              </w:rPr>
              <w:t>Regarding Gas Regulation Art. 2:</w:t>
            </w:r>
          </w:p>
          <w:p w14:paraId="5E6C05BD" w14:textId="77777777" w:rsidR="00542633" w:rsidRPr="008B1593" w:rsidRDefault="00542633" w:rsidP="00086D8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bdr w:val="none" w:sz="0" w:space="0" w:color="auto"/>
                <w:lang w:val="en-US" w:eastAsia="lt-LT"/>
              </w:rPr>
            </w:pPr>
            <w:r w:rsidRPr="008B1593">
              <w:rPr>
                <w:rFonts w:eastAsia="Times New Roman"/>
                <w:i/>
                <w:sz w:val="20"/>
                <w:szCs w:val="20"/>
                <w:bdr w:val="none" w:sz="0" w:space="0" w:color="auto"/>
                <w:lang w:val="en-US" w:eastAsia="lt-LT"/>
              </w:rPr>
              <w:t>11) ‘network user’ means a customer or a potential customer of a transmission system operator, and transmission system operators themselves in so far as it is necessary for them to carry out their functions in relation to transmission;</w:t>
            </w:r>
          </w:p>
          <w:p w14:paraId="712500CB" w14:textId="77777777" w:rsidR="00542633" w:rsidRPr="008B1593" w:rsidRDefault="00542633" w:rsidP="00086D89">
            <w:pPr>
              <w:pBdr>
                <w:top w:val="none" w:sz="0" w:space="0" w:color="auto"/>
                <w:left w:val="none" w:sz="0" w:space="0" w:color="auto"/>
                <w:bottom w:val="none" w:sz="0" w:space="0" w:color="auto"/>
                <w:right w:val="none" w:sz="0" w:space="0" w:color="auto"/>
                <w:between w:val="none" w:sz="0" w:space="0" w:color="auto"/>
                <w:bar w:val="none" w:sz="0" w:color="auto"/>
              </w:pBdr>
              <w:ind w:left="34" w:firstLine="34"/>
              <w:jc w:val="both"/>
              <w:textAlignment w:val="baseline"/>
              <w:rPr>
                <w:rFonts w:eastAsia="Times New Roman"/>
                <w:sz w:val="20"/>
                <w:szCs w:val="20"/>
                <w:bdr w:val="none" w:sz="0" w:space="0" w:color="auto"/>
                <w:lang w:val="en-US" w:eastAsia="lt-LT"/>
              </w:rPr>
            </w:pPr>
            <w:r w:rsidRPr="008B1593">
              <w:rPr>
                <w:rFonts w:eastAsia="Times New Roman"/>
                <w:sz w:val="20"/>
                <w:szCs w:val="20"/>
                <w:bdr w:val="none" w:sz="0" w:space="0" w:color="auto"/>
                <w:lang w:val="en-US" w:eastAsia="lt-LT"/>
              </w:rPr>
              <w:t xml:space="preserve">Please use definitions provided by the Gas Regulation. </w:t>
            </w:r>
          </w:p>
          <w:p w14:paraId="339C637C" w14:textId="77777777" w:rsidR="00542633" w:rsidRPr="008B1593" w:rsidRDefault="00542633" w:rsidP="00086D8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bdr w:val="none" w:sz="0" w:space="0" w:color="auto"/>
                <w:lang w:val="en-US" w:eastAsia="lt-LT"/>
              </w:rPr>
            </w:pPr>
          </w:p>
          <w:p w14:paraId="11A149B7" w14:textId="77777777" w:rsidR="00542633" w:rsidRPr="008B1593" w:rsidRDefault="00542633" w:rsidP="00086D89">
            <w:pPr>
              <w:pBdr>
                <w:top w:val="none" w:sz="0" w:space="0" w:color="auto"/>
                <w:left w:val="none" w:sz="0" w:space="0" w:color="auto"/>
                <w:bottom w:val="none" w:sz="0" w:space="0" w:color="auto"/>
                <w:right w:val="none" w:sz="0" w:space="0" w:color="auto"/>
                <w:between w:val="none" w:sz="0" w:space="0" w:color="auto"/>
                <w:bar w:val="none" w:sz="0" w:color="auto"/>
              </w:pBdr>
              <w:ind w:left="34"/>
              <w:jc w:val="both"/>
              <w:textAlignment w:val="baseline"/>
              <w:rPr>
                <w:rFonts w:eastAsia="Times New Roman"/>
                <w:sz w:val="20"/>
                <w:szCs w:val="20"/>
                <w:bdr w:val="none" w:sz="0" w:space="0" w:color="auto"/>
                <w:lang w:val="en-US" w:eastAsia="lt-LT"/>
              </w:rPr>
            </w:pPr>
            <w:r w:rsidRPr="008B1593">
              <w:rPr>
                <w:rFonts w:eastAsia="Times New Roman"/>
                <w:sz w:val="20"/>
                <w:szCs w:val="20"/>
                <w:bdr w:val="none" w:sz="0" w:space="0" w:color="auto"/>
                <w:lang w:val="en-US" w:eastAsia="lt-LT"/>
              </w:rPr>
              <w:t>If TSOs observe need to define network user’s responsibilities we suggesting adding additional paragraph in the other section than definitions with a text provided in paragraph 2.39.</w:t>
            </w:r>
          </w:p>
        </w:tc>
        <w:tc>
          <w:tcPr>
            <w:tcW w:w="6343" w:type="dxa"/>
          </w:tcPr>
          <w:p w14:paraId="7395B7C3" w14:textId="77777777" w:rsidR="00542633" w:rsidRPr="00E928D5" w:rsidRDefault="00542633" w:rsidP="00C97D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bdr w:val="none" w:sz="0" w:space="0" w:color="auto"/>
                <w:lang w:val="en-US" w:eastAsia="lt-LT"/>
              </w:rPr>
            </w:pPr>
            <w:r w:rsidRPr="00E928D5">
              <w:rPr>
                <w:rFonts w:eastAsia="Times New Roman"/>
                <w:sz w:val="20"/>
                <w:szCs w:val="20"/>
                <w:bdr w:val="none" w:sz="0" w:space="0" w:color="auto"/>
                <w:lang w:val="en-US" w:eastAsia="lt-LT"/>
              </w:rPr>
              <w:t>Proposal not taken into account. Definition in Gas Regulation</w:t>
            </w:r>
            <w:r>
              <w:rPr>
                <w:rFonts w:eastAsia="Times New Roman"/>
                <w:sz w:val="20"/>
                <w:szCs w:val="20"/>
                <w:bdr w:val="none" w:sz="0" w:space="0" w:color="auto"/>
                <w:lang w:val="en-US" w:eastAsia="lt-LT"/>
              </w:rPr>
              <w:t xml:space="preserve"> (715/2009)</w:t>
            </w:r>
            <w:r w:rsidRPr="00E928D5">
              <w:rPr>
                <w:rFonts w:eastAsia="Times New Roman"/>
                <w:sz w:val="20"/>
                <w:szCs w:val="20"/>
                <w:bdr w:val="none" w:sz="0" w:space="0" w:color="auto"/>
                <w:lang w:val="en-US" w:eastAsia="lt-LT"/>
              </w:rPr>
              <w:t xml:space="preserve"> is too broad for the direct application to the network rules</w:t>
            </w:r>
            <w:r>
              <w:rPr>
                <w:rFonts w:eastAsia="Times New Roman"/>
                <w:sz w:val="20"/>
                <w:szCs w:val="20"/>
                <w:bdr w:val="none" w:sz="0" w:space="0" w:color="auto"/>
                <w:lang w:val="en-US" w:eastAsia="lt-LT"/>
              </w:rPr>
              <w:t>. The definition in network r</w:t>
            </w:r>
            <w:r w:rsidRPr="00E928D5">
              <w:rPr>
                <w:rFonts w:eastAsia="Times New Roman"/>
                <w:sz w:val="20"/>
                <w:szCs w:val="20"/>
                <w:bdr w:val="none" w:sz="0" w:space="0" w:color="auto"/>
                <w:lang w:val="en-US" w:eastAsia="lt-LT"/>
              </w:rPr>
              <w:t xml:space="preserve">ules is extended to the required scope. </w:t>
            </w:r>
          </w:p>
          <w:p w14:paraId="51B79C37" w14:textId="77777777" w:rsidR="00542633" w:rsidRPr="00EF5298" w:rsidRDefault="00542633" w:rsidP="00C97D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bdr w:val="none" w:sz="0" w:space="0" w:color="auto"/>
                <w:lang w:val="en-US" w:eastAsia="lt-LT"/>
              </w:rPr>
            </w:pPr>
          </w:p>
        </w:tc>
      </w:tr>
      <w:tr w:rsidR="00542633" w:rsidRPr="008B1593" w14:paraId="6598D732" w14:textId="77777777" w:rsidTr="00795AD6">
        <w:trPr>
          <w:trHeight w:val="659"/>
        </w:trPr>
        <w:tc>
          <w:tcPr>
            <w:tcW w:w="2830" w:type="dxa"/>
          </w:tcPr>
          <w:p w14:paraId="1B631F1D" w14:textId="77777777" w:rsidR="00542633" w:rsidRPr="008B1593" w:rsidRDefault="00542633" w:rsidP="00086D89">
            <w:pPr>
              <w:tabs>
                <w:tab w:val="left" w:pos="1276"/>
              </w:tabs>
              <w:suppressAutoHyphens/>
              <w:jc w:val="both"/>
              <w:textAlignment w:val="baseline"/>
              <w:rPr>
                <w:sz w:val="20"/>
                <w:szCs w:val="20"/>
                <w:lang w:val="en-US" w:eastAsia="lt-LT"/>
              </w:rPr>
            </w:pPr>
            <w:r w:rsidRPr="008B1593">
              <w:rPr>
                <w:sz w:val="20"/>
                <w:szCs w:val="20"/>
                <w:lang w:val="en-US" w:eastAsia="lt-LT"/>
              </w:rPr>
              <w:t>2.52. Underground Gas Storage (hereinafter: UGS) means Inčukalns underground gas storage facility.</w:t>
            </w:r>
          </w:p>
          <w:p w14:paraId="44AD49EA" w14:textId="77777777" w:rsidR="00542633" w:rsidRPr="008B1593" w:rsidRDefault="00542633" w:rsidP="00086D89">
            <w:pPr>
              <w:tabs>
                <w:tab w:val="left" w:pos="851"/>
              </w:tabs>
              <w:suppressAutoHyphens/>
              <w:jc w:val="both"/>
              <w:textAlignment w:val="baseline"/>
              <w:rPr>
                <w:sz w:val="20"/>
                <w:szCs w:val="20"/>
                <w:lang w:val="en-US"/>
              </w:rPr>
            </w:pPr>
            <w:r w:rsidRPr="008B1593">
              <w:rPr>
                <w:sz w:val="20"/>
                <w:szCs w:val="20"/>
                <w:lang w:val="en-US" w:eastAsia="lt-LT"/>
              </w:rPr>
              <w:lastRenderedPageBreak/>
              <w:t>2.53. UGS operator means operator of UGS which provides gas storage services at the UGS (natural gas injection into the facility, storage, and withdrawal from the UGS).</w:t>
            </w:r>
          </w:p>
        </w:tc>
        <w:tc>
          <w:tcPr>
            <w:tcW w:w="6521" w:type="dxa"/>
          </w:tcPr>
          <w:p w14:paraId="46F9808E" w14:textId="5B8AC1AF" w:rsidR="00542633" w:rsidRPr="008B1593" w:rsidRDefault="00B83638" w:rsidP="00086D8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bdr w:val="none" w:sz="0" w:space="0" w:color="auto"/>
                <w:lang w:val="en-US" w:eastAsia="lt-LT"/>
              </w:rPr>
            </w:pPr>
            <w:r>
              <w:rPr>
                <w:b/>
                <w:sz w:val="20"/>
                <w:szCs w:val="20"/>
                <w:lang w:val="en-US"/>
              </w:rPr>
              <w:lastRenderedPageBreak/>
              <w:t>Stakeholder 1</w:t>
            </w:r>
            <w:r w:rsidR="00542633">
              <w:rPr>
                <w:b/>
                <w:lang w:val="en-US"/>
              </w:rPr>
              <w:t>:</w:t>
            </w:r>
            <w:r w:rsidR="00542633" w:rsidRPr="008B1593">
              <w:rPr>
                <w:b/>
                <w:sz w:val="20"/>
                <w:szCs w:val="20"/>
                <w:lang w:val="en-US"/>
              </w:rPr>
              <w:t xml:space="preserve"> </w:t>
            </w:r>
            <w:r w:rsidR="00542633" w:rsidRPr="008B1593">
              <w:rPr>
                <w:rFonts w:eastAsia="Times New Roman"/>
                <w:sz w:val="20"/>
                <w:szCs w:val="20"/>
                <w:bdr w:val="none" w:sz="0" w:space="0" w:color="auto"/>
                <w:lang w:val="en-US" w:eastAsia="lt-LT"/>
              </w:rPr>
              <w:t xml:space="preserve">Please </w:t>
            </w:r>
            <w:r w:rsidR="000C639F" w:rsidRPr="008B1593">
              <w:rPr>
                <w:rFonts w:eastAsia="Times New Roman"/>
                <w:sz w:val="20"/>
                <w:szCs w:val="20"/>
                <w:bdr w:val="none" w:sz="0" w:space="0" w:color="auto"/>
                <w:lang w:val="en-US" w:eastAsia="lt-LT"/>
              </w:rPr>
              <w:t>harmonize</w:t>
            </w:r>
            <w:r w:rsidR="00542633" w:rsidRPr="008B1593">
              <w:rPr>
                <w:rFonts w:eastAsia="Times New Roman"/>
                <w:sz w:val="20"/>
                <w:szCs w:val="20"/>
                <w:bdr w:val="none" w:sz="0" w:space="0" w:color="auto"/>
                <w:lang w:val="en-US" w:eastAsia="lt-LT"/>
              </w:rPr>
              <w:t xml:space="preserve"> definition with the Gas Directive:</w:t>
            </w:r>
          </w:p>
          <w:p w14:paraId="6CC5ACA9" w14:textId="77777777" w:rsidR="00542633" w:rsidRPr="008B1593" w:rsidRDefault="00542633" w:rsidP="00086D89">
            <w:pPr>
              <w:pBdr>
                <w:top w:val="none" w:sz="0" w:space="0" w:color="auto"/>
                <w:left w:val="none" w:sz="0" w:space="0" w:color="auto"/>
                <w:bottom w:val="none" w:sz="0" w:space="0" w:color="auto"/>
                <w:right w:val="none" w:sz="0" w:space="0" w:color="auto"/>
                <w:between w:val="none" w:sz="0" w:space="0" w:color="auto"/>
                <w:bar w:val="none" w:sz="0" w:color="auto"/>
              </w:pBdr>
              <w:ind w:left="34" w:firstLine="34"/>
              <w:jc w:val="both"/>
              <w:textAlignment w:val="baseline"/>
              <w:rPr>
                <w:rFonts w:eastAsia="Times New Roman"/>
                <w:i/>
                <w:sz w:val="20"/>
                <w:szCs w:val="20"/>
                <w:bdr w:val="none" w:sz="0" w:space="0" w:color="auto"/>
                <w:lang w:val="en-US" w:eastAsia="lt-LT"/>
              </w:rPr>
            </w:pPr>
            <w:r w:rsidRPr="008B1593">
              <w:rPr>
                <w:rFonts w:eastAsia="Times New Roman"/>
                <w:sz w:val="20"/>
                <w:szCs w:val="20"/>
                <w:bdr w:val="none" w:sz="0" w:space="0" w:color="auto"/>
                <w:lang w:val="en-US" w:eastAsia="lt-LT"/>
              </w:rPr>
              <w:t>“</w:t>
            </w:r>
            <w:r w:rsidRPr="008B1593">
              <w:rPr>
                <w:rFonts w:eastAsia="Times New Roman"/>
                <w:i/>
                <w:sz w:val="20"/>
                <w:szCs w:val="20"/>
                <w:bdr w:val="none" w:sz="0" w:space="0" w:color="auto"/>
                <w:lang w:val="en-US" w:eastAsia="lt-LT"/>
              </w:rPr>
              <w:t xml:space="preserve">(9) ‘storage facility’ means a facility used for the stocking of natural gas and owned and/or operated by a natural gas undertaking, including the part of LNG facilities used for storage but excluding the portion used for production </w:t>
            </w:r>
            <w:r w:rsidRPr="008B1593">
              <w:rPr>
                <w:rFonts w:eastAsia="Times New Roman"/>
                <w:i/>
                <w:sz w:val="20"/>
                <w:szCs w:val="20"/>
                <w:bdr w:val="none" w:sz="0" w:space="0" w:color="auto"/>
                <w:lang w:val="en-US" w:eastAsia="lt-LT"/>
              </w:rPr>
              <w:lastRenderedPageBreak/>
              <w:t>operations, and excluding facilities reserved exclusively for transmission system operators in carrying out their functions;</w:t>
            </w:r>
          </w:p>
          <w:p w14:paraId="767DD0DE" w14:textId="77777777" w:rsidR="00542633" w:rsidRPr="008B1593" w:rsidRDefault="00542633" w:rsidP="00086D89">
            <w:pPr>
              <w:pBdr>
                <w:top w:val="none" w:sz="0" w:space="0" w:color="auto"/>
                <w:left w:val="none" w:sz="0" w:space="0" w:color="auto"/>
                <w:bottom w:val="none" w:sz="0" w:space="0" w:color="auto"/>
                <w:right w:val="none" w:sz="0" w:space="0" w:color="auto"/>
                <w:between w:val="none" w:sz="0" w:space="0" w:color="auto"/>
                <w:bar w:val="none" w:sz="0" w:color="auto"/>
              </w:pBdr>
              <w:ind w:left="34" w:firstLine="34"/>
              <w:jc w:val="both"/>
              <w:textAlignment w:val="baseline"/>
              <w:rPr>
                <w:rFonts w:eastAsia="Times New Roman"/>
                <w:i/>
                <w:sz w:val="20"/>
                <w:szCs w:val="20"/>
                <w:bdr w:val="none" w:sz="0" w:space="0" w:color="auto"/>
                <w:lang w:val="en-US" w:eastAsia="lt-LT"/>
              </w:rPr>
            </w:pPr>
            <w:r w:rsidRPr="008B1593">
              <w:rPr>
                <w:rFonts w:eastAsia="Times New Roman"/>
                <w:i/>
                <w:sz w:val="20"/>
                <w:szCs w:val="20"/>
                <w:bdr w:val="none" w:sz="0" w:space="0" w:color="auto"/>
                <w:lang w:val="en-US" w:eastAsia="lt-LT"/>
              </w:rPr>
              <w:t>(10) ‘storage system operator’ means a natural or legal person who carries out the function of storage and is responsible for operating a storage facility</w:t>
            </w:r>
            <w:r w:rsidRPr="008B1593">
              <w:rPr>
                <w:rFonts w:eastAsia="Times New Roman"/>
                <w:sz w:val="20"/>
                <w:szCs w:val="20"/>
                <w:bdr w:val="none" w:sz="0" w:space="0" w:color="auto"/>
                <w:lang w:val="en-US" w:eastAsia="lt-LT"/>
              </w:rPr>
              <w:t>”</w:t>
            </w:r>
          </w:p>
          <w:p w14:paraId="53C2D00E" w14:textId="77777777" w:rsidR="00542633" w:rsidRPr="008B1593" w:rsidRDefault="00542633" w:rsidP="00086D89">
            <w:pPr>
              <w:pBdr>
                <w:top w:val="none" w:sz="0" w:space="0" w:color="auto"/>
                <w:left w:val="none" w:sz="0" w:space="0" w:color="auto"/>
                <w:bottom w:val="none" w:sz="0" w:space="0" w:color="auto"/>
                <w:right w:val="none" w:sz="0" w:space="0" w:color="auto"/>
                <w:between w:val="none" w:sz="0" w:space="0" w:color="auto"/>
                <w:bar w:val="none" w:sz="0" w:color="auto"/>
              </w:pBdr>
              <w:ind w:left="34" w:firstLine="34"/>
              <w:jc w:val="both"/>
              <w:textAlignment w:val="baseline"/>
              <w:rPr>
                <w:rFonts w:eastAsia="Times New Roman"/>
                <w:sz w:val="20"/>
                <w:szCs w:val="20"/>
                <w:bdr w:val="none" w:sz="0" w:space="0" w:color="auto"/>
                <w:lang w:val="en-US" w:eastAsia="lt-LT"/>
              </w:rPr>
            </w:pPr>
          </w:p>
          <w:p w14:paraId="73B48937" w14:textId="77777777" w:rsidR="00542633" w:rsidRPr="008B1593" w:rsidRDefault="00542633" w:rsidP="00086D89">
            <w:pPr>
              <w:pBdr>
                <w:top w:val="none" w:sz="0" w:space="0" w:color="auto"/>
                <w:left w:val="none" w:sz="0" w:space="0" w:color="auto"/>
                <w:bottom w:val="none" w:sz="0" w:space="0" w:color="auto"/>
                <w:right w:val="none" w:sz="0" w:space="0" w:color="auto"/>
                <w:between w:val="none" w:sz="0" w:space="0" w:color="auto"/>
                <w:bar w:val="none" w:sz="0" w:color="auto"/>
              </w:pBdr>
              <w:ind w:left="34" w:firstLine="34"/>
              <w:jc w:val="both"/>
              <w:textAlignment w:val="baseline"/>
              <w:rPr>
                <w:rFonts w:eastAsia="Times New Roman"/>
                <w:sz w:val="20"/>
                <w:szCs w:val="20"/>
                <w:bdr w:val="none" w:sz="0" w:space="0" w:color="auto"/>
                <w:lang w:val="en-US" w:eastAsia="lt-LT"/>
              </w:rPr>
            </w:pPr>
            <w:r w:rsidRPr="008B1593">
              <w:rPr>
                <w:rFonts w:eastAsia="Times New Roman"/>
                <w:sz w:val="20"/>
                <w:szCs w:val="20"/>
                <w:bdr w:val="none" w:sz="0" w:space="0" w:color="auto"/>
                <w:lang w:val="en-US" w:eastAsia="lt-LT"/>
              </w:rPr>
              <w:t>There is no necessity to distinguish between “underground” and “not underground” between “Inčuklans” and not “Inčukalns”.</w:t>
            </w:r>
          </w:p>
          <w:p w14:paraId="700104E7" w14:textId="77777777" w:rsidR="00542633" w:rsidRPr="008B1593" w:rsidRDefault="00542633" w:rsidP="00086D8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bdr w:val="none" w:sz="0" w:space="0" w:color="auto"/>
                <w:lang w:val="en-US" w:eastAsia="lt-LT"/>
              </w:rPr>
            </w:pPr>
          </w:p>
          <w:p w14:paraId="722610EB" w14:textId="77777777" w:rsidR="00542633" w:rsidRPr="008B1593" w:rsidRDefault="00542633" w:rsidP="00086D89">
            <w:pPr>
              <w:tabs>
                <w:tab w:val="left" w:pos="1276"/>
              </w:tabs>
              <w:suppressAutoHyphens/>
              <w:jc w:val="both"/>
              <w:textAlignment w:val="baseline"/>
              <w:rPr>
                <w:sz w:val="20"/>
                <w:szCs w:val="20"/>
                <w:lang w:val="en-US" w:eastAsia="lt-LT"/>
              </w:rPr>
            </w:pPr>
            <w:r w:rsidRPr="008B1593">
              <w:rPr>
                <w:rFonts w:eastAsia="Times New Roman"/>
                <w:sz w:val="20"/>
                <w:szCs w:val="20"/>
                <w:bdr w:val="none" w:sz="0" w:space="0" w:color="auto"/>
                <w:lang w:val="en-US" w:eastAsia="lt-LT"/>
              </w:rPr>
              <w:t>Legal act is applied to the legal entity (“</w:t>
            </w:r>
            <w:r w:rsidRPr="008B1593">
              <w:rPr>
                <w:rFonts w:eastAsia="Times New Roman"/>
                <w:i/>
                <w:sz w:val="20"/>
                <w:szCs w:val="20"/>
                <w:bdr w:val="none" w:sz="0" w:space="0" w:color="auto"/>
                <w:lang w:val="en-US" w:eastAsia="lt-LT"/>
              </w:rPr>
              <w:t>storage system operator</w:t>
            </w:r>
            <w:r w:rsidRPr="008B1593">
              <w:rPr>
                <w:rFonts w:eastAsia="Times New Roman"/>
                <w:sz w:val="20"/>
                <w:szCs w:val="20"/>
                <w:bdr w:val="none" w:sz="0" w:space="0" w:color="auto"/>
                <w:lang w:val="en-US" w:eastAsia="lt-LT"/>
              </w:rPr>
              <w:t>”) which have specific license and not to the physical asset, equipment (Inčukalns underground gas storage facility).</w:t>
            </w:r>
          </w:p>
        </w:tc>
        <w:tc>
          <w:tcPr>
            <w:tcW w:w="6343" w:type="dxa"/>
          </w:tcPr>
          <w:p w14:paraId="39640314" w14:textId="77777777" w:rsidR="00542633" w:rsidRPr="00EF5298" w:rsidRDefault="00542633" w:rsidP="00601E0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i/>
                <w:sz w:val="20"/>
                <w:szCs w:val="20"/>
                <w:bdr w:val="none" w:sz="0" w:space="0" w:color="auto"/>
                <w:lang w:val="en-US" w:eastAsia="lt-LT"/>
              </w:rPr>
            </w:pPr>
            <w:r>
              <w:rPr>
                <w:rFonts w:eastAsia="Times New Roman"/>
                <w:sz w:val="20"/>
                <w:szCs w:val="20"/>
                <w:bdr w:val="none" w:sz="0" w:space="0" w:color="auto"/>
                <w:lang w:val="en-US" w:eastAsia="lt-LT"/>
              </w:rPr>
              <w:lastRenderedPageBreak/>
              <w:t>Proposal taken into account.</w:t>
            </w:r>
          </w:p>
          <w:p w14:paraId="4CD6EBE9" w14:textId="77777777" w:rsidR="00542633" w:rsidRPr="00EF5298" w:rsidRDefault="00542633" w:rsidP="00AD3F5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bdr w:val="none" w:sz="0" w:space="0" w:color="auto"/>
                <w:lang w:val="en-US" w:eastAsia="lt-LT"/>
              </w:rPr>
            </w:pPr>
          </w:p>
        </w:tc>
      </w:tr>
      <w:tr w:rsidR="00542633" w:rsidRPr="008B1593" w14:paraId="7760183D" w14:textId="77777777" w:rsidTr="00795AD6">
        <w:trPr>
          <w:trHeight w:val="659"/>
        </w:trPr>
        <w:tc>
          <w:tcPr>
            <w:tcW w:w="2830" w:type="dxa"/>
          </w:tcPr>
          <w:p w14:paraId="338478D9" w14:textId="77777777" w:rsidR="00542633" w:rsidRPr="008B1593" w:rsidRDefault="00542633" w:rsidP="00086D89">
            <w:pPr>
              <w:tabs>
                <w:tab w:val="left" w:pos="1276"/>
              </w:tabs>
              <w:suppressAutoHyphens/>
              <w:jc w:val="both"/>
              <w:textAlignment w:val="baseline"/>
              <w:rPr>
                <w:sz w:val="20"/>
                <w:szCs w:val="20"/>
                <w:lang w:val="en-US" w:eastAsia="lt-LT"/>
              </w:rPr>
            </w:pPr>
            <w:r w:rsidRPr="008B1593">
              <w:rPr>
                <w:sz w:val="20"/>
                <w:szCs w:val="20"/>
                <w:lang w:val="en-US"/>
              </w:rPr>
              <w:t>2.55. Long term Use It Or Lose It (hereinafter UIOLI) means a procedure of reallocation of transmission system capacities booked but not used.</w:t>
            </w:r>
          </w:p>
        </w:tc>
        <w:tc>
          <w:tcPr>
            <w:tcW w:w="6521" w:type="dxa"/>
          </w:tcPr>
          <w:p w14:paraId="7C1CF4F2" w14:textId="76278003" w:rsidR="00542633" w:rsidRPr="008B1593" w:rsidRDefault="00B83638" w:rsidP="00086D89">
            <w:pPr>
              <w:pStyle w:val="CommentText"/>
              <w:jc w:val="both"/>
              <w:rPr>
                <w:lang w:val="en-US"/>
              </w:rPr>
            </w:pPr>
            <w:r>
              <w:rPr>
                <w:b/>
                <w:lang w:val="en-US"/>
              </w:rPr>
              <w:t>Stakeholder 1</w:t>
            </w:r>
            <w:r w:rsidR="00542633">
              <w:rPr>
                <w:b/>
                <w:lang w:val="en-US"/>
              </w:rPr>
              <w:t>:</w:t>
            </w:r>
            <w:r w:rsidR="00542633" w:rsidRPr="008B1593">
              <w:rPr>
                <w:b/>
                <w:lang w:val="en-US"/>
              </w:rPr>
              <w:t xml:space="preserve"> </w:t>
            </w:r>
            <w:r w:rsidR="00542633" w:rsidRPr="008B1593">
              <w:rPr>
                <w:lang w:val="en-US"/>
              </w:rPr>
              <w:t xml:space="preserve">Current definition is inaccurate and do not add additional value to this document. </w:t>
            </w:r>
            <w:r w:rsidR="000C639F" w:rsidRPr="008B1593">
              <w:rPr>
                <w:lang w:val="en-US"/>
              </w:rPr>
              <w:t>Harmonize</w:t>
            </w:r>
            <w:r w:rsidR="00542633" w:rsidRPr="008B1593">
              <w:rPr>
                <w:lang w:val="en-US"/>
              </w:rPr>
              <w:t xml:space="preserve"> the concept and wording in line with a Gas Regulation Annex I</w:t>
            </w:r>
            <w:r w:rsidR="00542633" w:rsidRPr="008B1593">
              <w:rPr>
                <w:rStyle w:val="FootnoteReference"/>
                <w:lang w:val="en-US"/>
              </w:rPr>
              <w:footnoteReference w:id="2"/>
            </w:r>
            <w:r w:rsidR="00542633" w:rsidRPr="008B1593">
              <w:rPr>
                <w:lang w:val="en-US"/>
              </w:rPr>
              <w:t xml:space="preserve"> paragraph 2.2.5. Currently Rules are describing only long term UIOLI not short term UIOLI. Thus, we suggest adding wording “Long Term” to the name of the definition.</w:t>
            </w:r>
          </w:p>
        </w:tc>
        <w:tc>
          <w:tcPr>
            <w:tcW w:w="6343" w:type="dxa"/>
          </w:tcPr>
          <w:p w14:paraId="7DEDD921" w14:textId="77777777" w:rsidR="00542633" w:rsidRPr="00EF5298" w:rsidRDefault="00542633" w:rsidP="005E68C2">
            <w:pPr>
              <w:pStyle w:val="CommentText"/>
              <w:jc w:val="both"/>
              <w:rPr>
                <w:lang w:val="en-US"/>
              </w:rPr>
            </w:pPr>
            <w:r w:rsidRPr="00EF5298">
              <w:rPr>
                <w:lang w:val="en-US"/>
              </w:rPr>
              <w:t xml:space="preserve">Proposal </w:t>
            </w:r>
            <w:r>
              <w:rPr>
                <w:lang w:val="en-US"/>
              </w:rPr>
              <w:t>taken into account.</w:t>
            </w:r>
          </w:p>
        </w:tc>
      </w:tr>
      <w:tr w:rsidR="00542633" w:rsidRPr="008B1593" w14:paraId="1BEA04B7" w14:textId="77777777" w:rsidTr="00795AD6">
        <w:trPr>
          <w:trHeight w:val="659"/>
        </w:trPr>
        <w:tc>
          <w:tcPr>
            <w:tcW w:w="2830" w:type="dxa"/>
          </w:tcPr>
          <w:p w14:paraId="3C8ED565" w14:textId="77777777" w:rsidR="00542633" w:rsidRPr="008B1593" w:rsidRDefault="00542633" w:rsidP="00827BED">
            <w:pPr>
              <w:tabs>
                <w:tab w:val="left" w:pos="851"/>
              </w:tabs>
              <w:suppressAutoHyphens/>
              <w:jc w:val="both"/>
              <w:textAlignment w:val="baseline"/>
              <w:rPr>
                <w:sz w:val="20"/>
                <w:szCs w:val="20"/>
                <w:lang w:val="en-US"/>
              </w:rPr>
            </w:pPr>
            <w:r w:rsidRPr="008B1593">
              <w:rPr>
                <w:sz w:val="20"/>
                <w:szCs w:val="20"/>
                <w:lang w:val="en-US" w:eastAsia="lt-LT"/>
              </w:rPr>
              <w:t>2.56. Virtual trading point (hereinafter: VTP) means a point without a defined physical location in the common entry-exit system where trade in natural gas is carried out.</w:t>
            </w:r>
          </w:p>
        </w:tc>
        <w:tc>
          <w:tcPr>
            <w:tcW w:w="6521" w:type="dxa"/>
          </w:tcPr>
          <w:p w14:paraId="4E9D59A2" w14:textId="5FCBC153" w:rsidR="00542633" w:rsidRPr="008B1593" w:rsidRDefault="00B83638" w:rsidP="00827BED">
            <w:pPr>
              <w:tabs>
                <w:tab w:val="left" w:pos="851"/>
              </w:tabs>
              <w:suppressAutoHyphens/>
              <w:ind w:left="34"/>
              <w:jc w:val="both"/>
              <w:textAlignment w:val="baseline"/>
              <w:rPr>
                <w:sz w:val="20"/>
                <w:szCs w:val="20"/>
                <w:lang w:val="en-US" w:eastAsia="lt-LT"/>
              </w:rPr>
            </w:pPr>
            <w:r>
              <w:rPr>
                <w:b/>
                <w:sz w:val="20"/>
                <w:szCs w:val="20"/>
                <w:lang w:val="en-US"/>
              </w:rPr>
              <w:t>Stakeholder 1</w:t>
            </w:r>
            <w:r w:rsidR="00542633">
              <w:rPr>
                <w:b/>
                <w:lang w:val="en-US"/>
              </w:rPr>
              <w:t>:</w:t>
            </w:r>
            <w:r w:rsidR="00542633" w:rsidRPr="008B1593">
              <w:rPr>
                <w:b/>
                <w:sz w:val="20"/>
                <w:szCs w:val="20"/>
                <w:lang w:val="en-US"/>
              </w:rPr>
              <w:t xml:space="preserve"> </w:t>
            </w:r>
            <w:r w:rsidR="00542633" w:rsidRPr="008B1593">
              <w:rPr>
                <w:sz w:val="20"/>
                <w:szCs w:val="20"/>
                <w:lang w:val="en-US" w:eastAsia="lt-LT"/>
              </w:rPr>
              <w:t>We consider that this definition is accurate. Not only trade is carried out in the VTP, other business processes are carried out as well. Consider entry-exit system concept definition (it is noted that entry-exit system definition not defined as well).</w:t>
            </w:r>
          </w:p>
        </w:tc>
        <w:tc>
          <w:tcPr>
            <w:tcW w:w="6343" w:type="dxa"/>
          </w:tcPr>
          <w:p w14:paraId="058482CF" w14:textId="77777777" w:rsidR="00542633" w:rsidRPr="00E928D5" w:rsidRDefault="00542633" w:rsidP="007E4086">
            <w:pPr>
              <w:tabs>
                <w:tab w:val="left" w:pos="851"/>
              </w:tabs>
              <w:suppressAutoHyphens/>
              <w:ind w:left="34"/>
              <w:jc w:val="both"/>
              <w:textAlignment w:val="baseline"/>
              <w:rPr>
                <w:sz w:val="20"/>
                <w:szCs w:val="20"/>
                <w:lang w:val="en-US" w:eastAsia="lt-LT"/>
              </w:rPr>
            </w:pPr>
            <w:r w:rsidRPr="00E928D5">
              <w:rPr>
                <w:sz w:val="20"/>
                <w:szCs w:val="20"/>
                <w:lang w:val="en-US" w:eastAsia="lt-LT"/>
              </w:rPr>
              <w:t xml:space="preserve">Proposal taken into account. </w:t>
            </w:r>
          </w:p>
        </w:tc>
      </w:tr>
      <w:tr w:rsidR="00542633" w:rsidRPr="008B1593" w14:paraId="782909FF" w14:textId="77777777" w:rsidTr="00795AD6">
        <w:trPr>
          <w:trHeight w:val="659"/>
        </w:trPr>
        <w:tc>
          <w:tcPr>
            <w:tcW w:w="2830" w:type="dxa"/>
          </w:tcPr>
          <w:p w14:paraId="7BC3A38A" w14:textId="77777777" w:rsidR="00542633" w:rsidRPr="008B1593" w:rsidRDefault="00542633" w:rsidP="00827BED">
            <w:pPr>
              <w:tabs>
                <w:tab w:val="left" w:pos="851"/>
              </w:tabs>
              <w:suppressAutoHyphens/>
              <w:jc w:val="both"/>
              <w:textAlignment w:val="baseline"/>
              <w:rPr>
                <w:sz w:val="20"/>
                <w:szCs w:val="20"/>
                <w:lang w:val="en-US"/>
              </w:rPr>
            </w:pPr>
            <w:r w:rsidRPr="008B1593">
              <w:rPr>
                <w:sz w:val="20"/>
                <w:szCs w:val="20"/>
                <w:lang w:val="en-US"/>
              </w:rPr>
              <w:t>2.58. Fixed delivery agreement means type of gas sale - purchase agreement where gas is supplied in accordance to in advance arranged delivery schedule.</w:t>
            </w:r>
          </w:p>
          <w:p w14:paraId="1B65D4C7" w14:textId="77777777" w:rsidR="00542633" w:rsidRPr="008B1593" w:rsidRDefault="00542633" w:rsidP="00827BED">
            <w:pPr>
              <w:tabs>
                <w:tab w:val="left" w:pos="851"/>
              </w:tabs>
              <w:suppressAutoHyphens/>
              <w:jc w:val="both"/>
              <w:textAlignment w:val="baseline"/>
              <w:rPr>
                <w:sz w:val="20"/>
                <w:szCs w:val="20"/>
                <w:lang w:val="en-US"/>
              </w:rPr>
            </w:pPr>
          </w:p>
          <w:p w14:paraId="2CA0A2A5" w14:textId="77777777" w:rsidR="00542633" w:rsidRPr="008B1593" w:rsidRDefault="00542633" w:rsidP="00827BED">
            <w:pPr>
              <w:tabs>
                <w:tab w:val="left" w:pos="851"/>
              </w:tabs>
              <w:suppressAutoHyphens/>
              <w:jc w:val="both"/>
              <w:textAlignment w:val="baseline"/>
              <w:rPr>
                <w:sz w:val="20"/>
                <w:szCs w:val="20"/>
                <w:lang w:val="en-US"/>
              </w:rPr>
            </w:pPr>
            <w:r w:rsidRPr="008B1593">
              <w:rPr>
                <w:sz w:val="20"/>
                <w:szCs w:val="20"/>
                <w:lang w:val="en-US"/>
              </w:rPr>
              <w:t>2.59. Flexible delivery agreement means type of gas sale - purchase agreement that allows gas to be supplied in accordance with network user’s demand with flexibility to adjust delivery schedule.</w:t>
            </w:r>
          </w:p>
          <w:p w14:paraId="298C714E" w14:textId="77777777" w:rsidR="00542633" w:rsidRPr="008B1593" w:rsidRDefault="00542633" w:rsidP="00827BED">
            <w:pPr>
              <w:tabs>
                <w:tab w:val="left" w:pos="851"/>
              </w:tabs>
              <w:suppressAutoHyphens/>
              <w:jc w:val="both"/>
              <w:textAlignment w:val="baseline"/>
              <w:rPr>
                <w:b/>
                <w:sz w:val="20"/>
                <w:szCs w:val="20"/>
                <w:lang w:val="en-US"/>
              </w:rPr>
            </w:pPr>
          </w:p>
        </w:tc>
        <w:tc>
          <w:tcPr>
            <w:tcW w:w="6521" w:type="dxa"/>
          </w:tcPr>
          <w:p w14:paraId="0BE37D41" w14:textId="5C309C16" w:rsidR="00542633" w:rsidRPr="008B1593" w:rsidRDefault="00B83638" w:rsidP="00827BED">
            <w:pPr>
              <w:tabs>
                <w:tab w:val="left" w:pos="851"/>
              </w:tabs>
              <w:suppressAutoHyphens/>
              <w:ind w:left="34"/>
              <w:jc w:val="both"/>
              <w:textAlignment w:val="baseline"/>
              <w:rPr>
                <w:sz w:val="20"/>
                <w:szCs w:val="20"/>
                <w:lang w:val="en-US" w:eastAsia="lt-LT"/>
              </w:rPr>
            </w:pPr>
            <w:r>
              <w:rPr>
                <w:b/>
                <w:sz w:val="20"/>
                <w:szCs w:val="20"/>
                <w:lang w:val="en-US"/>
              </w:rPr>
              <w:t>Stakeholder 1</w:t>
            </w:r>
            <w:r w:rsidR="00542633">
              <w:rPr>
                <w:b/>
                <w:lang w:val="en-US"/>
              </w:rPr>
              <w:t>:</w:t>
            </w:r>
            <w:r w:rsidR="00542633" w:rsidRPr="008B1593">
              <w:rPr>
                <w:b/>
                <w:sz w:val="20"/>
                <w:szCs w:val="20"/>
                <w:lang w:val="en-US"/>
              </w:rPr>
              <w:t xml:space="preserve"> </w:t>
            </w:r>
            <w:r w:rsidR="00542633" w:rsidRPr="008B1593">
              <w:rPr>
                <w:sz w:val="20"/>
                <w:szCs w:val="20"/>
                <w:lang w:val="en-US" w:eastAsia="lt-LT"/>
              </w:rPr>
              <w:t>Entire concept of the mechanism of this fixed vs flexible agreements is not provided in a comprehensible way in the Rules. Please provide additional information and elaborate provisions regarding the definitions and the proposed model.</w:t>
            </w:r>
          </w:p>
          <w:p w14:paraId="3148D7C4" w14:textId="77777777" w:rsidR="00542633" w:rsidRDefault="00542633" w:rsidP="00827BED">
            <w:pPr>
              <w:tabs>
                <w:tab w:val="left" w:pos="851"/>
              </w:tabs>
              <w:suppressAutoHyphens/>
              <w:ind w:left="34"/>
              <w:jc w:val="both"/>
              <w:textAlignment w:val="baseline"/>
              <w:rPr>
                <w:sz w:val="20"/>
                <w:szCs w:val="20"/>
                <w:lang w:val="en-US" w:eastAsia="lt-LT"/>
              </w:rPr>
            </w:pPr>
          </w:p>
          <w:p w14:paraId="528A5A09" w14:textId="77777777" w:rsidR="00542633" w:rsidRDefault="00542633" w:rsidP="00827BED">
            <w:pPr>
              <w:tabs>
                <w:tab w:val="left" w:pos="851"/>
              </w:tabs>
              <w:suppressAutoHyphens/>
              <w:ind w:left="34"/>
              <w:jc w:val="both"/>
              <w:textAlignment w:val="baseline"/>
              <w:rPr>
                <w:sz w:val="20"/>
                <w:szCs w:val="20"/>
                <w:lang w:val="en-US" w:eastAsia="lt-LT"/>
              </w:rPr>
            </w:pPr>
          </w:p>
          <w:p w14:paraId="20ACF153" w14:textId="77777777" w:rsidR="00542633" w:rsidRPr="008B1593" w:rsidRDefault="00542633" w:rsidP="00827BED">
            <w:pPr>
              <w:tabs>
                <w:tab w:val="left" w:pos="851"/>
              </w:tabs>
              <w:suppressAutoHyphens/>
              <w:ind w:left="34"/>
              <w:jc w:val="both"/>
              <w:textAlignment w:val="baseline"/>
              <w:rPr>
                <w:sz w:val="20"/>
                <w:szCs w:val="20"/>
                <w:lang w:val="en-US" w:eastAsia="lt-LT"/>
              </w:rPr>
            </w:pPr>
          </w:p>
          <w:p w14:paraId="25B2BFC4" w14:textId="77777777" w:rsidR="00542633" w:rsidRPr="008B1593" w:rsidRDefault="00542633" w:rsidP="00827BED">
            <w:pPr>
              <w:tabs>
                <w:tab w:val="left" w:pos="851"/>
              </w:tabs>
              <w:suppressAutoHyphens/>
              <w:ind w:left="34"/>
              <w:jc w:val="both"/>
              <w:textAlignment w:val="baseline"/>
              <w:rPr>
                <w:sz w:val="20"/>
                <w:szCs w:val="20"/>
                <w:lang w:val="en-US" w:eastAsia="lt-LT"/>
              </w:rPr>
            </w:pPr>
            <w:r w:rsidRPr="008B1593">
              <w:rPr>
                <w:sz w:val="20"/>
                <w:szCs w:val="20"/>
                <w:lang w:val="en-US" w:eastAsia="lt-LT"/>
              </w:rPr>
              <w:t>We consider that regulation or evaluation of the supply activities – supply contract conditions is not the purpose of this document. Allocation and nomination rules should not be based on the supply contract conditions. Every consumer / supplier has a different negotiation – bargaining power. This TSO interference to help suppliers with a strong bargaining power (large market share) could be a discriminatory rule for the other market participants.</w:t>
            </w:r>
          </w:p>
          <w:p w14:paraId="55738809" w14:textId="77777777" w:rsidR="00542633" w:rsidRDefault="00542633" w:rsidP="00827BED">
            <w:pPr>
              <w:tabs>
                <w:tab w:val="left" w:pos="851"/>
              </w:tabs>
              <w:suppressAutoHyphens/>
              <w:ind w:left="34"/>
              <w:jc w:val="both"/>
              <w:textAlignment w:val="baseline"/>
              <w:rPr>
                <w:sz w:val="20"/>
                <w:szCs w:val="20"/>
                <w:lang w:val="en-US" w:eastAsia="lt-LT"/>
              </w:rPr>
            </w:pPr>
            <w:r w:rsidRPr="008B1593">
              <w:rPr>
                <w:sz w:val="20"/>
                <w:szCs w:val="20"/>
                <w:lang w:val="en-US" w:eastAsia="lt-LT"/>
              </w:rPr>
              <w:t>We suggest creating nomination procedures on third countries entry and exit points. However, since there are no operational balancing accounts in place on third countries entry and exit points there is an uncertainty what other allocation mechanisms could be used practically.</w:t>
            </w:r>
          </w:p>
          <w:p w14:paraId="4C36A633" w14:textId="77777777" w:rsidR="00542633" w:rsidRDefault="00542633" w:rsidP="00827BED">
            <w:pPr>
              <w:tabs>
                <w:tab w:val="left" w:pos="851"/>
              </w:tabs>
              <w:suppressAutoHyphens/>
              <w:ind w:left="34"/>
              <w:jc w:val="both"/>
              <w:textAlignment w:val="baseline"/>
              <w:rPr>
                <w:b/>
                <w:sz w:val="20"/>
                <w:szCs w:val="20"/>
                <w:lang w:val="en-US" w:eastAsia="lt-LT"/>
              </w:rPr>
            </w:pPr>
          </w:p>
          <w:p w14:paraId="6792BFB4" w14:textId="27B5092C" w:rsidR="00542633" w:rsidRDefault="00B83638" w:rsidP="00827BED">
            <w:pPr>
              <w:tabs>
                <w:tab w:val="left" w:pos="851"/>
              </w:tabs>
              <w:suppressAutoHyphens/>
              <w:ind w:left="34"/>
              <w:jc w:val="both"/>
              <w:textAlignment w:val="baseline"/>
              <w:rPr>
                <w:sz w:val="20"/>
                <w:szCs w:val="20"/>
                <w:lang w:val="en-US" w:eastAsia="lt-LT"/>
              </w:rPr>
            </w:pPr>
            <w:r>
              <w:rPr>
                <w:b/>
                <w:sz w:val="20"/>
                <w:szCs w:val="20"/>
                <w:lang w:val="en-US" w:eastAsia="lt-LT"/>
              </w:rPr>
              <w:t>Stakeholder 2</w:t>
            </w:r>
            <w:r w:rsidR="00542633" w:rsidRPr="000E7232">
              <w:rPr>
                <w:b/>
                <w:sz w:val="20"/>
                <w:szCs w:val="20"/>
                <w:lang w:val="en-US" w:eastAsia="lt-LT"/>
              </w:rPr>
              <w:t>:</w:t>
            </w:r>
            <w:r w:rsidR="00542633">
              <w:rPr>
                <w:sz w:val="20"/>
                <w:szCs w:val="20"/>
                <w:lang w:val="en-US" w:eastAsia="lt-LT"/>
              </w:rPr>
              <w:t xml:space="preserve"> we propose new wording:</w:t>
            </w:r>
          </w:p>
          <w:p w14:paraId="03D139AE" w14:textId="77777777" w:rsidR="00542633" w:rsidRPr="000E7232" w:rsidRDefault="00542633" w:rsidP="00827BED">
            <w:pPr>
              <w:tabs>
                <w:tab w:val="left" w:pos="851"/>
              </w:tabs>
              <w:suppressAutoHyphens/>
              <w:ind w:left="34"/>
              <w:jc w:val="both"/>
              <w:textAlignment w:val="baseline"/>
              <w:rPr>
                <w:sz w:val="20"/>
                <w:szCs w:val="20"/>
                <w:lang w:val="en-US" w:eastAsia="lt-LT"/>
              </w:rPr>
            </w:pPr>
            <w:r w:rsidRPr="000E7232">
              <w:rPr>
                <w:sz w:val="20"/>
                <w:szCs w:val="20"/>
                <w:lang w:val="en-US" w:eastAsia="lt-LT"/>
              </w:rPr>
              <w:lastRenderedPageBreak/>
              <w:t>p.2.58 Fixed delivery agreement means type of gas sale - purchase agreement where gas is supplied in</w:t>
            </w:r>
          </w:p>
          <w:p w14:paraId="0C9E8129" w14:textId="77777777" w:rsidR="00542633" w:rsidRPr="000E7232" w:rsidRDefault="00542633" w:rsidP="00827BED">
            <w:pPr>
              <w:tabs>
                <w:tab w:val="left" w:pos="851"/>
              </w:tabs>
              <w:suppressAutoHyphens/>
              <w:ind w:left="34"/>
              <w:jc w:val="both"/>
              <w:textAlignment w:val="baseline"/>
              <w:rPr>
                <w:sz w:val="20"/>
                <w:szCs w:val="20"/>
                <w:lang w:val="en-US" w:eastAsia="lt-LT"/>
              </w:rPr>
            </w:pPr>
            <w:r w:rsidRPr="000E7232">
              <w:rPr>
                <w:sz w:val="20"/>
                <w:szCs w:val="20"/>
                <w:lang w:val="en-US" w:eastAsia="lt-LT"/>
              </w:rPr>
              <w:t>accordance to in delivery schedule where quantities are agreed before the start of respective gas day.</w:t>
            </w:r>
          </w:p>
          <w:p w14:paraId="37CDB72B" w14:textId="77777777" w:rsidR="00542633" w:rsidRPr="000E7232" w:rsidRDefault="00542633" w:rsidP="00827BED">
            <w:pPr>
              <w:tabs>
                <w:tab w:val="left" w:pos="851"/>
              </w:tabs>
              <w:suppressAutoHyphens/>
              <w:ind w:left="34"/>
              <w:jc w:val="both"/>
              <w:textAlignment w:val="baseline"/>
              <w:rPr>
                <w:sz w:val="20"/>
                <w:szCs w:val="20"/>
                <w:lang w:val="en-US" w:eastAsia="lt-LT"/>
              </w:rPr>
            </w:pPr>
            <w:r w:rsidRPr="000E7232">
              <w:rPr>
                <w:sz w:val="20"/>
                <w:szCs w:val="20"/>
                <w:lang w:val="en-US" w:eastAsia="lt-LT"/>
              </w:rPr>
              <w:t>p.2.59 Flexible delivery agreement means type of gas sale - purchase agreement that allows gas to be</w:t>
            </w:r>
          </w:p>
          <w:p w14:paraId="69F8CC14" w14:textId="77777777" w:rsidR="00542633" w:rsidRPr="008B1593" w:rsidRDefault="00542633" w:rsidP="00827BED">
            <w:pPr>
              <w:tabs>
                <w:tab w:val="left" w:pos="851"/>
              </w:tabs>
              <w:suppressAutoHyphens/>
              <w:ind w:left="34"/>
              <w:jc w:val="both"/>
              <w:textAlignment w:val="baseline"/>
              <w:rPr>
                <w:sz w:val="20"/>
                <w:szCs w:val="20"/>
                <w:lang w:val="en-US" w:eastAsia="lt-LT"/>
              </w:rPr>
            </w:pPr>
            <w:r w:rsidRPr="000E7232">
              <w:rPr>
                <w:sz w:val="20"/>
                <w:szCs w:val="20"/>
                <w:lang w:val="en-US" w:eastAsia="lt-LT"/>
              </w:rPr>
              <w:t>supplied in accordance with network user’s demand and delivered quantities are agreed after the end of respective gas day.</w:t>
            </w:r>
          </w:p>
        </w:tc>
        <w:tc>
          <w:tcPr>
            <w:tcW w:w="6343" w:type="dxa"/>
          </w:tcPr>
          <w:p w14:paraId="08BA04D8" w14:textId="77777777" w:rsidR="00542633" w:rsidRPr="00EF5298" w:rsidRDefault="00542633" w:rsidP="00827BED">
            <w:pPr>
              <w:tabs>
                <w:tab w:val="left" w:pos="851"/>
              </w:tabs>
              <w:suppressAutoHyphens/>
              <w:jc w:val="both"/>
              <w:textAlignment w:val="baseline"/>
              <w:rPr>
                <w:i/>
                <w:sz w:val="20"/>
                <w:szCs w:val="20"/>
                <w:lang w:val="en-US" w:eastAsia="lt-LT"/>
              </w:rPr>
            </w:pPr>
            <w:r w:rsidRPr="00EF5298">
              <w:rPr>
                <w:sz w:val="20"/>
                <w:szCs w:val="20"/>
                <w:lang w:val="en-US" w:eastAsia="lt-LT"/>
              </w:rPr>
              <w:lastRenderedPageBreak/>
              <w:t>Proposal not taken into account. Allocation rules for third country entry</w:t>
            </w:r>
            <w:r>
              <w:rPr>
                <w:sz w:val="20"/>
                <w:szCs w:val="20"/>
                <w:lang w:val="en-US" w:eastAsia="lt-LT"/>
              </w:rPr>
              <w:t xml:space="preserve"> and</w:t>
            </w:r>
            <w:r w:rsidRPr="00EF5298">
              <w:rPr>
                <w:sz w:val="20"/>
                <w:szCs w:val="20"/>
                <w:lang w:val="en-US" w:eastAsia="lt-LT"/>
              </w:rPr>
              <w:t xml:space="preserve"> exit points are drafted to take into account types of delivery agreements, not to regulate them. Curr</w:t>
            </w:r>
            <w:r>
              <w:rPr>
                <w:sz w:val="20"/>
                <w:szCs w:val="20"/>
                <w:lang w:val="en-US" w:eastAsia="lt-LT"/>
              </w:rPr>
              <w:t>ent proposal foresees nomination</w:t>
            </w:r>
            <w:r w:rsidRPr="00EF5298">
              <w:rPr>
                <w:sz w:val="20"/>
                <w:szCs w:val="20"/>
                <w:lang w:val="en-US" w:eastAsia="lt-LT"/>
              </w:rPr>
              <w:t xml:space="preserve"> procedure, however it has limited use due </w:t>
            </w:r>
            <w:r>
              <w:rPr>
                <w:sz w:val="20"/>
                <w:szCs w:val="20"/>
                <w:lang w:val="en-US" w:eastAsia="lt-LT"/>
              </w:rPr>
              <w:t xml:space="preserve">to </w:t>
            </w:r>
            <w:r w:rsidRPr="00EF5298">
              <w:rPr>
                <w:sz w:val="20"/>
                <w:szCs w:val="20"/>
                <w:lang w:val="en-US" w:eastAsia="lt-LT"/>
              </w:rPr>
              <w:t xml:space="preserve">the cooperation arrangements with operator of third country. </w:t>
            </w:r>
          </w:p>
          <w:p w14:paraId="63588352" w14:textId="77777777" w:rsidR="00542633" w:rsidRPr="00EF5298" w:rsidRDefault="00542633" w:rsidP="00827BED">
            <w:pPr>
              <w:tabs>
                <w:tab w:val="left" w:pos="851"/>
              </w:tabs>
              <w:suppressAutoHyphens/>
              <w:ind w:left="34"/>
              <w:jc w:val="both"/>
              <w:textAlignment w:val="baseline"/>
              <w:rPr>
                <w:sz w:val="20"/>
                <w:szCs w:val="20"/>
                <w:lang w:val="en-US" w:eastAsia="lt-LT"/>
              </w:rPr>
            </w:pPr>
          </w:p>
          <w:p w14:paraId="55B2CB1C" w14:textId="77777777" w:rsidR="00542633" w:rsidRPr="00EF5298" w:rsidRDefault="00542633" w:rsidP="00827BED">
            <w:pPr>
              <w:tabs>
                <w:tab w:val="left" w:pos="851"/>
              </w:tabs>
              <w:suppressAutoHyphens/>
              <w:ind w:left="34"/>
              <w:jc w:val="both"/>
              <w:textAlignment w:val="baseline"/>
              <w:rPr>
                <w:sz w:val="20"/>
                <w:szCs w:val="20"/>
                <w:lang w:val="en-US" w:eastAsia="lt-LT"/>
              </w:rPr>
            </w:pPr>
            <w:r w:rsidRPr="00EF5298">
              <w:rPr>
                <w:sz w:val="20"/>
                <w:szCs w:val="20"/>
                <w:lang w:val="en-US"/>
              </w:rPr>
              <w:t xml:space="preserve">Proposal not taken into account: Creating allocation rules not taking into account </w:t>
            </w:r>
            <w:r>
              <w:rPr>
                <w:sz w:val="20"/>
                <w:szCs w:val="20"/>
                <w:lang w:val="en-US"/>
              </w:rPr>
              <w:t>the factual circumstances</w:t>
            </w:r>
            <w:r w:rsidRPr="00EF5298">
              <w:rPr>
                <w:sz w:val="20"/>
                <w:szCs w:val="20"/>
                <w:lang w:val="en-US"/>
              </w:rPr>
              <w:t xml:space="preserve"> of existing supply agreements would render created allocation rules useless/not applicable, due the fact that neighboring TSO would be in position </w:t>
            </w:r>
            <w:r>
              <w:rPr>
                <w:sz w:val="20"/>
                <w:szCs w:val="20"/>
                <w:lang w:val="en-US"/>
              </w:rPr>
              <w:t xml:space="preserve">to </w:t>
            </w:r>
            <w:r w:rsidRPr="00EF5298">
              <w:rPr>
                <w:sz w:val="20"/>
                <w:szCs w:val="20"/>
                <w:lang w:val="en-US"/>
              </w:rPr>
              <w:t>not confirm such quantities.</w:t>
            </w:r>
          </w:p>
          <w:p w14:paraId="4726E7B5" w14:textId="77777777" w:rsidR="00542633" w:rsidRPr="00EF5298" w:rsidRDefault="00542633" w:rsidP="00827BED">
            <w:pPr>
              <w:tabs>
                <w:tab w:val="left" w:pos="851"/>
              </w:tabs>
              <w:suppressAutoHyphens/>
              <w:ind w:left="34"/>
              <w:jc w:val="both"/>
              <w:textAlignment w:val="baseline"/>
              <w:rPr>
                <w:sz w:val="20"/>
                <w:szCs w:val="20"/>
                <w:lang w:val="en-US" w:eastAsia="lt-LT"/>
              </w:rPr>
            </w:pPr>
          </w:p>
          <w:p w14:paraId="3A93F23B" w14:textId="77777777" w:rsidR="00542633" w:rsidRPr="00EF5298" w:rsidRDefault="00542633" w:rsidP="00827BED">
            <w:pPr>
              <w:tabs>
                <w:tab w:val="left" w:pos="851"/>
              </w:tabs>
              <w:suppressAutoHyphens/>
              <w:ind w:left="34"/>
              <w:jc w:val="both"/>
              <w:textAlignment w:val="baseline"/>
              <w:rPr>
                <w:sz w:val="20"/>
                <w:szCs w:val="20"/>
                <w:lang w:val="en-US" w:eastAsia="lt-LT"/>
              </w:rPr>
            </w:pPr>
          </w:p>
          <w:p w14:paraId="58C0955A" w14:textId="77777777" w:rsidR="00542633" w:rsidRPr="00EF5298" w:rsidRDefault="00542633" w:rsidP="00827BED">
            <w:pPr>
              <w:tabs>
                <w:tab w:val="left" w:pos="851"/>
              </w:tabs>
              <w:suppressAutoHyphens/>
              <w:ind w:left="34"/>
              <w:jc w:val="both"/>
              <w:textAlignment w:val="baseline"/>
              <w:rPr>
                <w:sz w:val="20"/>
                <w:szCs w:val="20"/>
                <w:lang w:val="en-US" w:eastAsia="lt-LT"/>
              </w:rPr>
            </w:pPr>
          </w:p>
          <w:p w14:paraId="6F2E8851" w14:textId="77777777" w:rsidR="00542633" w:rsidRPr="00EF5298" w:rsidRDefault="00542633" w:rsidP="00827BED">
            <w:pPr>
              <w:tabs>
                <w:tab w:val="left" w:pos="851"/>
              </w:tabs>
              <w:suppressAutoHyphens/>
              <w:ind w:left="34"/>
              <w:jc w:val="both"/>
              <w:textAlignment w:val="baseline"/>
              <w:rPr>
                <w:sz w:val="20"/>
                <w:szCs w:val="20"/>
                <w:lang w:val="en-US" w:eastAsia="lt-LT"/>
              </w:rPr>
            </w:pPr>
          </w:p>
          <w:p w14:paraId="67307778" w14:textId="77777777" w:rsidR="00542633" w:rsidRPr="00EF5298" w:rsidRDefault="00542633" w:rsidP="00D7265A">
            <w:pPr>
              <w:tabs>
                <w:tab w:val="left" w:pos="851"/>
              </w:tabs>
              <w:suppressAutoHyphens/>
              <w:jc w:val="both"/>
              <w:textAlignment w:val="baseline"/>
              <w:rPr>
                <w:sz w:val="20"/>
                <w:szCs w:val="20"/>
                <w:lang w:val="en-US" w:eastAsia="lt-LT"/>
              </w:rPr>
            </w:pPr>
          </w:p>
          <w:p w14:paraId="49643419" w14:textId="77777777" w:rsidR="00542633" w:rsidRPr="00EF5298" w:rsidRDefault="00542633" w:rsidP="00D7265A">
            <w:pPr>
              <w:tabs>
                <w:tab w:val="left" w:pos="851"/>
              </w:tabs>
              <w:suppressAutoHyphens/>
              <w:jc w:val="both"/>
              <w:textAlignment w:val="baseline"/>
              <w:rPr>
                <w:sz w:val="20"/>
                <w:szCs w:val="20"/>
                <w:lang w:val="en-US" w:eastAsia="lt-LT"/>
              </w:rPr>
            </w:pPr>
          </w:p>
          <w:p w14:paraId="242F8670" w14:textId="77777777" w:rsidR="00542633" w:rsidRPr="00EF5298" w:rsidRDefault="00542633" w:rsidP="00D7265A">
            <w:pPr>
              <w:tabs>
                <w:tab w:val="left" w:pos="851"/>
              </w:tabs>
              <w:suppressAutoHyphens/>
              <w:jc w:val="both"/>
              <w:textAlignment w:val="baseline"/>
              <w:rPr>
                <w:sz w:val="20"/>
                <w:szCs w:val="20"/>
                <w:lang w:val="en-US" w:eastAsia="lt-LT"/>
              </w:rPr>
            </w:pPr>
          </w:p>
          <w:p w14:paraId="4E454AFB" w14:textId="77777777" w:rsidR="00542633" w:rsidRPr="00EF5298" w:rsidRDefault="00542633" w:rsidP="00827BED">
            <w:pPr>
              <w:tabs>
                <w:tab w:val="left" w:pos="851"/>
              </w:tabs>
              <w:suppressAutoHyphens/>
              <w:ind w:left="34"/>
              <w:jc w:val="both"/>
              <w:textAlignment w:val="baseline"/>
              <w:rPr>
                <w:sz w:val="20"/>
                <w:szCs w:val="20"/>
                <w:lang w:val="en-US" w:eastAsia="lt-LT"/>
              </w:rPr>
            </w:pPr>
          </w:p>
          <w:p w14:paraId="535A6649" w14:textId="77777777" w:rsidR="00542633" w:rsidRPr="00EF5298" w:rsidRDefault="00542633" w:rsidP="00827BED">
            <w:pPr>
              <w:tabs>
                <w:tab w:val="left" w:pos="851"/>
              </w:tabs>
              <w:suppressAutoHyphens/>
              <w:ind w:left="34"/>
              <w:jc w:val="both"/>
              <w:textAlignment w:val="baseline"/>
              <w:rPr>
                <w:sz w:val="20"/>
                <w:szCs w:val="20"/>
                <w:lang w:val="en-US" w:eastAsia="lt-LT"/>
              </w:rPr>
            </w:pPr>
            <w:r w:rsidRPr="00EF5298">
              <w:rPr>
                <w:sz w:val="20"/>
                <w:szCs w:val="20"/>
                <w:lang w:val="en-US" w:eastAsia="lt-LT"/>
              </w:rPr>
              <w:lastRenderedPageBreak/>
              <w:t xml:space="preserve">Proposal </w:t>
            </w:r>
            <w:r w:rsidRPr="00D7470B">
              <w:rPr>
                <w:sz w:val="20"/>
                <w:szCs w:val="20"/>
                <w:lang w:val="en-US" w:eastAsia="lt-LT"/>
              </w:rPr>
              <w:t>not taken into account.  TSOs consider the existing definitions more appropriate to the network rules in question.</w:t>
            </w:r>
          </w:p>
          <w:p w14:paraId="4E12D5F6" w14:textId="77777777" w:rsidR="00542633" w:rsidRPr="00EF5298" w:rsidRDefault="00542633" w:rsidP="00827BED">
            <w:pPr>
              <w:tabs>
                <w:tab w:val="left" w:pos="851"/>
              </w:tabs>
              <w:suppressAutoHyphens/>
              <w:ind w:left="34"/>
              <w:jc w:val="both"/>
              <w:textAlignment w:val="baseline"/>
              <w:rPr>
                <w:sz w:val="20"/>
                <w:szCs w:val="20"/>
                <w:lang w:val="en-US" w:eastAsia="lt-LT"/>
              </w:rPr>
            </w:pPr>
          </w:p>
          <w:p w14:paraId="43A7173B" w14:textId="77777777" w:rsidR="00542633" w:rsidRPr="00EF5298" w:rsidRDefault="00542633" w:rsidP="00827BED">
            <w:pPr>
              <w:tabs>
                <w:tab w:val="left" w:pos="851"/>
              </w:tabs>
              <w:suppressAutoHyphens/>
              <w:ind w:left="34"/>
              <w:jc w:val="both"/>
              <w:textAlignment w:val="baseline"/>
              <w:rPr>
                <w:sz w:val="20"/>
                <w:szCs w:val="20"/>
                <w:lang w:val="en-US" w:eastAsia="lt-LT"/>
              </w:rPr>
            </w:pPr>
          </w:p>
          <w:p w14:paraId="7C331C9B" w14:textId="77777777" w:rsidR="00542633" w:rsidRPr="00EF5298" w:rsidRDefault="00542633" w:rsidP="003A6182">
            <w:pPr>
              <w:tabs>
                <w:tab w:val="left" w:pos="851"/>
              </w:tabs>
              <w:suppressAutoHyphens/>
              <w:jc w:val="both"/>
              <w:textAlignment w:val="baseline"/>
              <w:rPr>
                <w:sz w:val="20"/>
                <w:szCs w:val="20"/>
                <w:lang w:val="en-US" w:eastAsia="lt-LT"/>
              </w:rPr>
            </w:pPr>
          </w:p>
        </w:tc>
      </w:tr>
      <w:tr w:rsidR="00542633" w:rsidRPr="008B1593" w14:paraId="15E16A89" w14:textId="77777777" w:rsidTr="00795AD6">
        <w:trPr>
          <w:trHeight w:val="659"/>
        </w:trPr>
        <w:tc>
          <w:tcPr>
            <w:tcW w:w="2830" w:type="dxa"/>
          </w:tcPr>
          <w:p w14:paraId="5971752B" w14:textId="77777777" w:rsidR="00542633" w:rsidRPr="008B1593" w:rsidRDefault="00542633" w:rsidP="00827BED">
            <w:pPr>
              <w:tabs>
                <w:tab w:val="left" w:pos="851"/>
              </w:tabs>
              <w:suppressAutoHyphens/>
              <w:jc w:val="both"/>
              <w:textAlignment w:val="baseline"/>
              <w:rPr>
                <w:sz w:val="20"/>
                <w:szCs w:val="20"/>
                <w:lang w:val="en-US"/>
              </w:rPr>
            </w:pPr>
            <w:r w:rsidRPr="008B1593">
              <w:rPr>
                <w:b/>
                <w:sz w:val="20"/>
                <w:szCs w:val="20"/>
                <w:lang w:val="en-US"/>
              </w:rPr>
              <w:lastRenderedPageBreak/>
              <w:t>3.</w:t>
            </w:r>
            <w:r w:rsidRPr="008B1593">
              <w:rPr>
                <w:sz w:val="20"/>
                <w:szCs w:val="20"/>
                <w:lang w:val="en-US"/>
              </w:rPr>
              <w:t xml:space="preserve"> </w:t>
            </w:r>
            <w:r w:rsidRPr="008B1593">
              <w:rPr>
                <w:b/>
                <w:sz w:val="20"/>
                <w:szCs w:val="20"/>
                <w:lang w:val="en-US"/>
              </w:rPr>
              <w:t>Procedure for the conclusion of transmission service agreement</w:t>
            </w:r>
          </w:p>
        </w:tc>
        <w:tc>
          <w:tcPr>
            <w:tcW w:w="6521" w:type="dxa"/>
          </w:tcPr>
          <w:p w14:paraId="70A8E46F" w14:textId="77777777" w:rsidR="00542633" w:rsidRPr="008B1593" w:rsidRDefault="00542633" w:rsidP="00827BED">
            <w:pPr>
              <w:suppressAutoHyphens/>
              <w:ind w:left="34"/>
              <w:jc w:val="both"/>
              <w:rPr>
                <w:sz w:val="20"/>
                <w:szCs w:val="20"/>
                <w:lang w:val="en-US" w:eastAsia="lt-LT"/>
              </w:rPr>
            </w:pPr>
          </w:p>
        </w:tc>
        <w:tc>
          <w:tcPr>
            <w:tcW w:w="6343" w:type="dxa"/>
          </w:tcPr>
          <w:p w14:paraId="1A507328" w14:textId="77777777" w:rsidR="00542633" w:rsidRPr="00EF5298" w:rsidRDefault="00542633" w:rsidP="00827BED">
            <w:pPr>
              <w:suppressAutoHyphens/>
              <w:ind w:left="34"/>
              <w:jc w:val="both"/>
              <w:rPr>
                <w:sz w:val="20"/>
                <w:szCs w:val="20"/>
                <w:lang w:val="en-US" w:eastAsia="lt-LT"/>
              </w:rPr>
            </w:pPr>
          </w:p>
        </w:tc>
      </w:tr>
      <w:tr w:rsidR="00542633" w:rsidRPr="008B1593" w14:paraId="1D7A75EB" w14:textId="77777777" w:rsidTr="00795AD6">
        <w:trPr>
          <w:trHeight w:val="659"/>
        </w:trPr>
        <w:tc>
          <w:tcPr>
            <w:tcW w:w="2830" w:type="dxa"/>
          </w:tcPr>
          <w:p w14:paraId="03C0BEE6" w14:textId="77777777" w:rsidR="00542633" w:rsidRPr="008B1593" w:rsidRDefault="00542633" w:rsidP="00827BED">
            <w:pPr>
              <w:tabs>
                <w:tab w:val="left" w:pos="851"/>
              </w:tabs>
              <w:suppressAutoHyphens/>
              <w:jc w:val="both"/>
              <w:textAlignment w:val="baseline"/>
              <w:rPr>
                <w:sz w:val="20"/>
                <w:szCs w:val="20"/>
                <w:lang w:val="en-US"/>
              </w:rPr>
            </w:pPr>
            <w:r w:rsidRPr="008B1593">
              <w:rPr>
                <w:sz w:val="20"/>
                <w:szCs w:val="20"/>
                <w:lang w:val="en-US"/>
              </w:rPr>
              <w:t xml:space="preserve">3.1. The potential network user willing to use the transmission services in the common balancing zone shall submit </w:t>
            </w:r>
            <w:r w:rsidRPr="008B1593">
              <w:rPr>
                <w:b/>
                <w:sz w:val="20"/>
                <w:szCs w:val="20"/>
                <w:lang w:val="en-US"/>
              </w:rPr>
              <w:t>to one of the TSO’s</w:t>
            </w:r>
            <w:r w:rsidRPr="008B1593">
              <w:rPr>
                <w:sz w:val="20"/>
                <w:szCs w:val="20"/>
                <w:lang w:val="en-US"/>
              </w:rPr>
              <w:t xml:space="preserve"> application for the conclusion of transmission service agreement in writing and in accordance with the application form provided on the website of TSO. Along with the application potential user shall provide the following data and documents:</w:t>
            </w:r>
          </w:p>
          <w:p w14:paraId="146828B7" w14:textId="77777777" w:rsidR="00542633" w:rsidRPr="008B1593" w:rsidRDefault="00542633" w:rsidP="00827BED">
            <w:pPr>
              <w:tabs>
                <w:tab w:val="left" w:pos="851"/>
              </w:tabs>
              <w:suppressAutoHyphens/>
              <w:jc w:val="both"/>
              <w:textAlignment w:val="baseline"/>
              <w:rPr>
                <w:sz w:val="20"/>
                <w:szCs w:val="20"/>
                <w:lang w:val="en-US"/>
              </w:rPr>
            </w:pPr>
            <w:r w:rsidRPr="008B1593">
              <w:rPr>
                <w:sz w:val="20"/>
                <w:szCs w:val="20"/>
                <w:lang w:val="en-US"/>
              </w:rPr>
              <w:t>&lt;...&gt;</w:t>
            </w:r>
          </w:p>
          <w:p w14:paraId="7AEEBFEE" w14:textId="77777777" w:rsidR="00542633" w:rsidRPr="008B1593" w:rsidRDefault="00542633" w:rsidP="00827BED">
            <w:pPr>
              <w:suppressAutoHyphens/>
              <w:jc w:val="both"/>
              <w:textAlignment w:val="baseline"/>
              <w:rPr>
                <w:sz w:val="20"/>
                <w:szCs w:val="20"/>
                <w:lang w:val="en-US" w:eastAsia="lt-LT"/>
              </w:rPr>
            </w:pPr>
            <w:r w:rsidRPr="008B1593">
              <w:rPr>
                <w:sz w:val="20"/>
                <w:szCs w:val="20"/>
                <w:lang w:val="en-US"/>
              </w:rPr>
              <w:t>3.2. The potential user in order to be entitled to use the transmission services in the common balancing zone shall conclude a transmission service agreement with one TSO only.</w:t>
            </w:r>
          </w:p>
        </w:tc>
        <w:tc>
          <w:tcPr>
            <w:tcW w:w="6521" w:type="dxa"/>
          </w:tcPr>
          <w:p w14:paraId="34460A4B" w14:textId="7E5D4FDE" w:rsidR="00542633" w:rsidRDefault="00B83638" w:rsidP="00827BED">
            <w:pPr>
              <w:suppressAutoHyphens/>
              <w:ind w:left="34"/>
              <w:jc w:val="both"/>
              <w:rPr>
                <w:sz w:val="20"/>
                <w:szCs w:val="20"/>
                <w:lang w:val="en-US" w:eastAsia="lt-LT"/>
              </w:rPr>
            </w:pPr>
            <w:r>
              <w:rPr>
                <w:b/>
                <w:sz w:val="20"/>
                <w:szCs w:val="20"/>
                <w:lang w:val="en-US"/>
              </w:rPr>
              <w:t>Stakeholder 1</w:t>
            </w:r>
            <w:r w:rsidR="00542633">
              <w:rPr>
                <w:b/>
                <w:lang w:val="en-US"/>
              </w:rPr>
              <w:t>:</w:t>
            </w:r>
            <w:r w:rsidR="00542633" w:rsidRPr="008B1593">
              <w:rPr>
                <w:b/>
                <w:sz w:val="20"/>
                <w:szCs w:val="20"/>
                <w:lang w:val="en-US"/>
              </w:rPr>
              <w:t xml:space="preserve"> </w:t>
            </w:r>
            <w:r w:rsidR="00542633" w:rsidRPr="008B1593">
              <w:rPr>
                <w:sz w:val="20"/>
                <w:szCs w:val="20"/>
                <w:lang w:val="en-US" w:eastAsia="lt-LT"/>
              </w:rPr>
              <w:t xml:space="preserve">It is not clear to which TSO of the two TSOs in the common balancing zone. Contractual relationship and structure of LV TSO - EE TSO - network user relationship is not clearly established under this document. </w:t>
            </w:r>
          </w:p>
          <w:p w14:paraId="7E05AA65" w14:textId="77777777" w:rsidR="00542633" w:rsidRDefault="00542633" w:rsidP="00827BED">
            <w:pPr>
              <w:suppressAutoHyphens/>
              <w:ind w:left="34"/>
              <w:jc w:val="both"/>
              <w:rPr>
                <w:sz w:val="20"/>
                <w:szCs w:val="20"/>
                <w:lang w:val="en-US" w:eastAsia="lt-LT"/>
              </w:rPr>
            </w:pPr>
          </w:p>
          <w:p w14:paraId="3A66EC03" w14:textId="77777777" w:rsidR="00542633" w:rsidRDefault="00542633" w:rsidP="00827BED">
            <w:pPr>
              <w:suppressAutoHyphens/>
              <w:ind w:left="34"/>
              <w:jc w:val="both"/>
              <w:rPr>
                <w:sz w:val="20"/>
                <w:szCs w:val="20"/>
                <w:lang w:val="en-US" w:eastAsia="lt-LT"/>
              </w:rPr>
            </w:pPr>
          </w:p>
          <w:p w14:paraId="19790ABB" w14:textId="77777777" w:rsidR="00542633" w:rsidRDefault="00542633" w:rsidP="00827BED">
            <w:pPr>
              <w:suppressAutoHyphens/>
              <w:ind w:left="34"/>
              <w:jc w:val="both"/>
              <w:rPr>
                <w:sz w:val="20"/>
                <w:szCs w:val="20"/>
                <w:lang w:val="en-US" w:eastAsia="lt-LT"/>
              </w:rPr>
            </w:pPr>
          </w:p>
          <w:p w14:paraId="539D6107" w14:textId="77777777" w:rsidR="00542633" w:rsidRDefault="00542633" w:rsidP="00827BED">
            <w:pPr>
              <w:suppressAutoHyphens/>
              <w:ind w:left="34"/>
              <w:jc w:val="both"/>
              <w:rPr>
                <w:sz w:val="20"/>
                <w:szCs w:val="20"/>
                <w:lang w:val="en-US" w:eastAsia="lt-LT"/>
              </w:rPr>
            </w:pPr>
          </w:p>
          <w:p w14:paraId="57A0331E" w14:textId="77777777" w:rsidR="00542633" w:rsidRDefault="00542633" w:rsidP="00827BED">
            <w:pPr>
              <w:suppressAutoHyphens/>
              <w:ind w:left="34"/>
              <w:jc w:val="both"/>
              <w:rPr>
                <w:sz w:val="20"/>
                <w:szCs w:val="20"/>
                <w:lang w:val="en-US" w:eastAsia="lt-LT"/>
              </w:rPr>
            </w:pPr>
          </w:p>
          <w:p w14:paraId="37D5DD1E" w14:textId="77777777" w:rsidR="00542633" w:rsidRDefault="00542633" w:rsidP="00827BED">
            <w:pPr>
              <w:suppressAutoHyphens/>
              <w:ind w:left="34"/>
              <w:jc w:val="both"/>
              <w:rPr>
                <w:sz w:val="20"/>
                <w:szCs w:val="20"/>
                <w:lang w:val="en-US" w:eastAsia="lt-LT"/>
              </w:rPr>
            </w:pPr>
          </w:p>
          <w:p w14:paraId="22908BDC" w14:textId="77777777" w:rsidR="00542633" w:rsidRDefault="00542633" w:rsidP="00827BED">
            <w:pPr>
              <w:suppressAutoHyphens/>
              <w:ind w:left="34"/>
              <w:jc w:val="both"/>
              <w:rPr>
                <w:sz w:val="20"/>
                <w:szCs w:val="20"/>
                <w:lang w:val="en-US" w:eastAsia="lt-LT"/>
              </w:rPr>
            </w:pPr>
          </w:p>
          <w:p w14:paraId="1E524719" w14:textId="77777777" w:rsidR="00542633" w:rsidRDefault="00542633" w:rsidP="00827BED">
            <w:pPr>
              <w:suppressAutoHyphens/>
              <w:ind w:left="34"/>
              <w:jc w:val="both"/>
              <w:rPr>
                <w:sz w:val="20"/>
                <w:szCs w:val="20"/>
                <w:lang w:val="en-US" w:eastAsia="lt-LT"/>
              </w:rPr>
            </w:pPr>
          </w:p>
          <w:p w14:paraId="557E4B32" w14:textId="77777777" w:rsidR="00542633" w:rsidRDefault="00542633" w:rsidP="00827BED">
            <w:pPr>
              <w:suppressAutoHyphens/>
              <w:ind w:left="34"/>
              <w:jc w:val="both"/>
              <w:rPr>
                <w:sz w:val="20"/>
                <w:szCs w:val="20"/>
                <w:lang w:val="en-US" w:eastAsia="lt-LT"/>
              </w:rPr>
            </w:pPr>
          </w:p>
          <w:p w14:paraId="69179115" w14:textId="77777777" w:rsidR="00542633" w:rsidRPr="008B1593" w:rsidRDefault="00542633" w:rsidP="00827BED">
            <w:pPr>
              <w:suppressAutoHyphens/>
              <w:ind w:left="34"/>
              <w:jc w:val="both"/>
              <w:rPr>
                <w:sz w:val="20"/>
                <w:szCs w:val="20"/>
                <w:lang w:val="en-US" w:eastAsia="lt-LT"/>
              </w:rPr>
            </w:pPr>
            <w:r w:rsidRPr="008B1593">
              <w:rPr>
                <w:sz w:val="20"/>
                <w:szCs w:val="20"/>
                <w:lang w:val="en-US" w:eastAsia="lt-LT"/>
              </w:rPr>
              <w:t>Criteria which TSO to choose by the network user should be established as well.</w:t>
            </w:r>
          </w:p>
        </w:tc>
        <w:tc>
          <w:tcPr>
            <w:tcW w:w="6343" w:type="dxa"/>
          </w:tcPr>
          <w:p w14:paraId="4825BD40" w14:textId="77777777" w:rsidR="00542633" w:rsidRPr="00EF5298" w:rsidRDefault="00542633" w:rsidP="00827BED">
            <w:pPr>
              <w:suppressAutoHyphens/>
              <w:ind w:left="34"/>
              <w:jc w:val="both"/>
              <w:rPr>
                <w:sz w:val="20"/>
                <w:szCs w:val="20"/>
                <w:lang w:val="en-US" w:eastAsia="lt-LT"/>
              </w:rPr>
            </w:pPr>
            <w:r w:rsidRPr="00EF5298">
              <w:rPr>
                <w:sz w:val="20"/>
                <w:szCs w:val="20"/>
                <w:lang w:val="en-US" w:eastAsia="lt-LT"/>
              </w:rPr>
              <w:t>Proposal taken into account.</w:t>
            </w:r>
            <w:r>
              <w:rPr>
                <w:sz w:val="20"/>
                <w:szCs w:val="20"/>
                <w:lang w:val="en-US" w:eastAsia="lt-LT"/>
              </w:rPr>
              <w:t xml:space="preserve"> Wording clarified.</w:t>
            </w:r>
          </w:p>
          <w:p w14:paraId="6ADA2C4B" w14:textId="77777777" w:rsidR="00542633" w:rsidRPr="00EF5298" w:rsidRDefault="00542633" w:rsidP="00827BED">
            <w:pPr>
              <w:suppressAutoHyphens/>
              <w:ind w:left="34"/>
              <w:jc w:val="both"/>
              <w:rPr>
                <w:sz w:val="20"/>
                <w:szCs w:val="20"/>
                <w:lang w:val="en-US" w:eastAsia="lt-LT"/>
              </w:rPr>
            </w:pPr>
            <w:r w:rsidRPr="00EF5298">
              <w:rPr>
                <w:sz w:val="20"/>
                <w:szCs w:val="20"/>
                <w:lang w:val="en-US" w:eastAsia="lt-LT"/>
              </w:rPr>
              <w:t xml:space="preserve">The concept of Contracting TSO of the Common balancing zone is based on the TSO-TSO cooperation model, which means that from the network user perspective, reflected in these rules, it is indifferent with which of the TSO the balancing and transmission agreement is </w:t>
            </w:r>
            <w:r>
              <w:rPr>
                <w:sz w:val="20"/>
                <w:szCs w:val="20"/>
                <w:lang w:val="en-US" w:eastAsia="lt-LT"/>
              </w:rPr>
              <w:t>concluded</w:t>
            </w:r>
            <w:r w:rsidRPr="00EF5298">
              <w:rPr>
                <w:sz w:val="20"/>
                <w:szCs w:val="20"/>
                <w:lang w:val="en-US" w:eastAsia="lt-LT"/>
              </w:rPr>
              <w:t>, because the TSO-TSO cooperation model ensures access for the network user to the whole transmission infrastructure of the Common balancing zone and single point of contact for all operations and customer support.</w:t>
            </w:r>
          </w:p>
          <w:p w14:paraId="4EE2369A" w14:textId="77777777" w:rsidR="00542633" w:rsidRPr="00EF5298" w:rsidRDefault="00542633" w:rsidP="00C337C6">
            <w:pPr>
              <w:suppressAutoHyphens/>
              <w:ind w:left="34"/>
              <w:jc w:val="both"/>
              <w:rPr>
                <w:sz w:val="20"/>
                <w:szCs w:val="20"/>
                <w:lang w:val="en-US" w:eastAsia="lt-LT"/>
              </w:rPr>
            </w:pPr>
          </w:p>
          <w:p w14:paraId="57558770" w14:textId="77777777" w:rsidR="00542633" w:rsidRPr="00EF5298" w:rsidRDefault="00542633" w:rsidP="00C337C6">
            <w:pPr>
              <w:suppressAutoHyphens/>
              <w:ind w:left="34"/>
              <w:jc w:val="both"/>
              <w:rPr>
                <w:sz w:val="20"/>
                <w:szCs w:val="20"/>
                <w:lang w:val="en-US" w:eastAsia="lt-LT"/>
              </w:rPr>
            </w:pPr>
            <w:r w:rsidRPr="00EF5298">
              <w:rPr>
                <w:sz w:val="20"/>
                <w:szCs w:val="20"/>
                <w:lang w:val="en-US" w:eastAsia="lt-LT"/>
              </w:rPr>
              <w:t>Proposal not taken into account.</w:t>
            </w:r>
          </w:p>
          <w:p w14:paraId="0739B732" w14:textId="77777777" w:rsidR="00542633" w:rsidRPr="00EF5298" w:rsidRDefault="00542633" w:rsidP="00827BED">
            <w:pPr>
              <w:suppressAutoHyphens/>
              <w:ind w:left="34"/>
              <w:jc w:val="both"/>
              <w:rPr>
                <w:sz w:val="20"/>
                <w:szCs w:val="20"/>
                <w:lang w:val="en-US" w:eastAsia="lt-LT"/>
              </w:rPr>
            </w:pPr>
            <w:r w:rsidRPr="00EF5298">
              <w:rPr>
                <w:sz w:val="20"/>
                <w:szCs w:val="20"/>
                <w:lang w:val="en-US" w:eastAsia="lt-LT"/>
              </w:rPr>
              <w:t>There can be a vast range of the criteria for the choice of the Contracting TSO, known only to the network users. TSOs will abstain from creation of any kind of the list of the limiting criteria in order not to hinder the development of the common gas market.</w:t>
            </w:r>
          </w:p>
        </w:tc>
      </w:tr>
      <w:tr w:rsidR="00542633" w:rsidRPr="008B1593" w14:paraId="7EC1F000" w14:textId="77777777" w:rsidTr="00795AD6">
        <w:trPr>
          <w:trHeight w:val="659"/>
        </w:trPr>
        <w:tc>
          <w:tcPr>
            <w:tcW w:w="2830" w:type="dxa"/>
          </w:tcPr>
          <w:p w14:paraId="7E0A7E5A" w14:textId="77777777" w:rsidR="00542633" w:rsidRPr="008B1593" w:rsidRDefault="00542633" w:rsidP="00827BED">
            <w:pPr>
              <w:tabs>
                <w:tab w:val="left" w:pos="851"/>
              </w:tabs>
              <w:suppressAutoHyphens/>
              <w:jc w:val="both"/>
              <w:textAlignment w:val="baseline"/>
              <w:rPr>
                <w:b/>
                <w:sz w:val="20"/>
                <w:szCs w:val="20"/>
                <w:lang w:val="en-US"/>
              </w:rPr>
            </w:pPr>
            <w:r w:rsidRPr="008B1593">
              <w:rPr>
                <w:b/>
                <w:sz w:val="20"/>
                <w:szCs w:val="20"/>
                <w:lang w:val="en-US"/>
              </w:rPr>
              <w:t>4. Capacity allocation</w:t>
            </w:r>
          </w:p>
        </w:tc>
        <w:tc>
          <w:tcPr>
            <w:tcW w:w="6521" w:type="dxa"/>
          </w:tcPr>
          <w:p w14:paraId="739E358F" w14:textId="7562D310" w:rsidR="00542633" w:rsidRDefault="00B83638" w:rsidP="00827BED">
            <w:pPr>
              <w:suppressAutoHyphens/>
              <w:ind w:left="34"/>
              <w:jc w:val="both"/>
              <w:rPr>
                <w:sz w:val="20"/>
                <w:szCs w:val="20"/>
                <w:lang w:val="en-US"/>
              </w:rPr>
            </w:pPr>
            <w:r>
              <w:rPr>
                <w:b/>
                <w:sz w:val="20"/>
                <w:szCs w:val="20"/>
                <w:lang w:val="en-US"/>
              </w:rPr>
              <w:t>Stakeholder 3</w:t>
            </w:r>
            <w:r w:rsidR="00542633">
              <w:rPr>
                <w:b/>
                <w:sz w:val="20"/>
                <w:szCs w:val="20"/>
                <w:lang w:val="en-US"/>
              </w:rPr>
              <w:t xml:space="preserve">: </w:t>
            </w:r>
            <w:r w:rsidR="00542633">
              <w:t xml:space="preserve"> </w:t>
            </w:r>
            <w:r w:rsidR="00542633" w:rsidRPr="00C211C1">
              <w:rPr>
                <w:sz w:val="20"/>
                <w:szCs w:val="20"/>
                <w:lang w:val="en-US"/>
              </w:rPr>
              <w:t>The only uncertainty for us is the implicit capacity auction for Balticconnector, it does not create the necessary service certainty for cross border trading. In case the IP is out of service, cross border traders face potentially massive liabilities towards their customers.</w:t>
            </w:r>
          </w:p>
          <w:p w14:paraId="17799A53" w14:textId="77777777" w:rsidR="00542633" w:rsidRDefault="00542633" w:rsidP="00827BED">
            <w:pPr>
              <w:suppressAutoHyphens/>
              <w:ind w:left="34"/>
              <w:jc w:val="both"/>
              <w:rPr>
                <w:b/>
                <w:sz w:val="20"/>
                <w:szCs w:val="20"/>
                <w:lang w:val="en-US"/>
              </w:rPr>
            </w:pPr>
          </w:p>
          <w:p w14:paraId="2F2220DE" w14:textId="63A4A3A2" w:rsidR="00542633" w:rsidRPr="008B1593" w:rsidRDefault="00B83638" w:rsidP="00827BED">
            <w:pPr>
              <w:suppressAutoHyphens/>
              <w:ind w:left="34"/>
              <w:jc w:val="both"/>
              <w:rPr>
                <w:sz w:val="20"/>
                <w:szCs w:val="20"/>
                <w:lang w:val="en-US" w:eastAsia="lt-LT"/>
              </w:rPr>
            </w:pPr>
            <w:r>
              <w:rPr>
                <w:b/>
                <w:sz w:val="20"/>
                <w:szCs w:val="20"/>
                <w:lang w:val="en-US"/>
              </w:rPr>
              <w:t>Stakeholder 1</w:t>
            </w:r>
            <w:r w:rsidR="00542633">
              <w:rPr>
                <w:b/>
                <w:lang w:val="en-US"/>
              </w:rPr>
              <w:t>:</w:t>
            </w:r>
            <w:r w:rsidR="00542633" w:rsidRPr="008B1593">
              <w:rPr>
                <w:b/>
                <w:sz w:val="20"/>
                <w:szCs w:val="20"/>
                <w:lang w:val="en-US"/>
              </w:rPr>
              <w:t xml:space="preserve"> </w:t>
            </w:r>
            <w:r w:rsidR="00542633" w:rsidRPr="008B1593">
              <w:rPr>
                <w:sz w:val="20"/>
                <w:szCs w:val="20"/>
                <w:lang w:val="en-US" w:eastAsia="lt-LT"/>
              </w:rPr>
              <w:t>CAM NC Article 8 (9):</w:t>
            </w:r>
          </w:p>
          <w:p w14:paraId="4B53BFC3" w14:textId="15426E8E" w:rsidR="00542633" w:rsidRPr="008B1593" w:rsidRDefault="00542633" w:rsidP="00827BED">
            <w:pPr>
              <w:suppressAutoHyphens/>
              <w:ind w:left="34"/>
              <w:jc w:val="both"/>
              <w:rPr>
                <w:sz w:val="20"/>
                <w:szCs w:val="20"/>
                <w:lang w:val="en-US" w:eastAsia="lt-LT"/>
              </w:rPr>
            </w:pPr>
            <w:r w:rsidRPr="008B1593">
              <w:rPr>
                <w:sz w:val="20"/>
                <w:szCs w:val="20"/>
                <w:lang w:val="en-US" w:eastAsia="lt-LT"/>
              </w:rPr>
              <w:t>“</w:t>
            </w:r>
            <w:r w:rsidRPr="008B1593">
              <w:rPr>
                <w:i/>
                <w:sz w:val="20"/>
                <w:szCs w:val="20"/>
                <w:lang w:val="en-US" w:eastAsia="lt-LT"/>
              </w:rPr>
              <w:t xml:space="preserve">The exact proportion of capacity to be set aside pursuant to paragraphs 6 and 8 shall be subject to a </w:t>
            </w:r>
            <w:r w:rsidR="00B83638">
              <w:rPr>
                <w:i/>
                <w:sz w:val="20"/>
                <w:szCs w:val="20"/>
                <w:lang w:val="en-US" w:eastAsia="lt-LT"/>
              </w:rPr>
              <w:t>Stakeholder</w:t>
            </w:r>
            <w:r w:rsidRPr="008B1593">
              <w:rPr>
                <w:i/>
                <w:sz w:val="20"/>
                <w:szCs w:val="20"/>
                <w:lang w:val="en-US" w:eastAsia="lt-LT"/>
              </w:rPr>
              <w:t xml:space="preserve"> consultation, alignment between transmission system operators and approval by national regulatory authorities at each interconnection point. National regulatory authorities shall in particular consider setting aside higher shares of capacity with a shorter duration to avoid foreclosure of downstream supply markets</w:t>
            </w:r>
            <w:r w:rsidRPr="008B1593">
              <w:rPr>
                <w:sz w:val="20"/>
                <w:szCs w:val="20"/>
                <w:lang w:val="en-US" w:eastAsia="lt-LT"/>
              </w:rPr>
              <w:t>.”</w:t>
            </w:r>
          </w:p>
          <w:p w14:paraId="66F070E2" w14:textId="77777777" w:rsidR="00542633" w:rsidRPr="008B1593" w:rsidRDefault="00542633" w:rsidP="00827BED">
            <w:pPr>
              <w:suppressAutoHyphens/>
              <w:ind w:left="34"/>
              <w:jc w:val="both"/>
              <w:rPr>
                <w:sz w:val="20"/>
                <w:szCs w:val="20"/>
                <w:lang w:val="en-US" w:eastAsia="lt-LT"/>
              </w:rPr>
            </w:pPr>
          </w:p>
          <w:p w14:paraId="31276E29" w14:textId="77777777" w:rsidR="00542633" w:rsidRPr="008B1593" w:rsidRDefault="00542633" w:rsidP="00827BED">
            <w:pPr>
              <w:suppressAutoHyphens/>
              <w:ind w:left="34"/>
              <w:jc w:val="both"/>
              <w:rPr>
                <w:sz w:val="20"/>
                <w:szCs w:val="20"/>
                <w:lang w:val="en-US" w:eastAsia="lt-LT"/>
              </w:rPr>
            </w:pPr>
            <w:r w:rsidRPr="008B1593">
              <w:rPr>
                <w:sz w:val="20"/>
                <w:szCs w:val="20"/>
                <w:lang w:val="en-US" w:eastAsia="lt-LT"/>
              </w:rPr>
              <w:t>It is important to mention that TSOs do not implement CAM NC Art. 8 (9) with this document. However, the share of capacity that is set aside have to be carefully considered. We ask TSOs to amend the rules with a proposal for NRAs.</w:t>
            </w:r>
          </w:p>
          <w:p w14:paraId="50B9EF7D" w14:textId="77777777" w:rsidR="00542633" w:rsidRPr="008B1593" w:rsidRDefault="00542633" w:rsidP="00827BED">
            <w:pPr>
              <w:suppressAutoHyphens/>
              <w:ind w:left="34"/>
              <w:jc w:val="both"/>
              <w:rPr>
                <w:sz w:val="20"/>
                <w:szCs w:val="20"/>
                <w:lang w:val="en-US" w:eastAsia="lt-LT"/>
              </w:rPr>
            </w:pPr>
          </w:p>
          <w:p w14:paraId="08256B06" w14:textId="77777777" w:rsidR="00542633" w:rsidRDefault="00542633" w:rsidP="00827BED">
            <w:pPr>
              <w:tabs>
                <w:tab w:val="left" w:pos="851"/>
              </w:tabs>
              <w:suppressAutoHyphens/>
              <w:ind w:left="34"/>
              <w:jc w:val="both"/>
              <w:textAlignment w:val="baseline"/>
              <w:rPr>
                <w:sz w:val="20"/>
                <w:szCs w:val="20"/>
                <w:lang w:val="en-US" w:eastAsia="lt-LT"/>
              </w:rPr>
            </w:pPr>
            <w:r w:rsidRPr="008B1593">
              <w:rPr>
                <w:sz w:val="20"/>
                <w:szCs w:val="20"/>
                <w:lang w:val="en-US" w:eastAsia="lt-LT"/>
              </w:rPr>
              <w:t>Also, we encourage TSOs to evaluate what long-term contracts currently there are in force in the LV and EE and assess if it is necessary to apply CAM NC for third countries entry and exit points, especially CAM NC Art. 8.</w:t>
            </w:r>
          </w:p>
          <w:p w14:paraId="1E878C24" w14:textId="77777777" w:rsidR="00542633" w:rsidRDefault="00542633" w:rsidP="00827BED">
            <w:pPr>
              <w:tabs>
                <w:tab w:val="left" w:pos="851"/>
              </w:tabs>
              <w:suppressAutoHyphens/>
              <w:ind w:left="34"/>
              <w:jc w:val="both"/>
              <w:textAlignment w:val="baseline"/>
              <w:rPr>
                <w:sz w:val="20"/>
                <w:szCs w:val="20"/>
                <w:lang w:val="en-US" w:eastAsia="lt-LT"/>
              </w:rPr>
            </w:pPr>
          </w:p>
          <w:p w14:paraId="5117F514" w14:textId="4F3E8D89" w:rsidR="00542633" w:rsidRPr="008B1593" w:rsidRDefault="00B83638" w:rsidP="00827BED">
            <w:pPr>
              <w:tabs>
                <w:tab w:val="left" w:pos="851"/>
              </w:tabs>
              <w:suppressAutoHyphens/>
              <w:ind w:left="34"/>
              <w:jc w:val="both"/>
              <w:textAlignment w:val="baseline"/>
              <w:rPr>
                <w:sz w:val="20"/>
                <w:szCs w:val="20"/>
                <w:lang w:val="en-US" w:eastAsia="lt-LT"/>
              </w:rPr>
            </w:pPr>
            <w:r>
              <w:rPr>
                <w:b/>
                <w:sz w:val="20"/>
                <w:szCs w:val="20"/>
                <w:lang w:val="en-US" w:eastAsia="lt-LT"/>
              </w:rPr>
              <w:t>Stakeholder 4</w:t>
            </w:r>
            <w:r w:rsidR="00542633">
              <w:rPr>
                <w:sz w:val="20"/>
                <w:szCs w:val="20"/>
                <w:lang w:val="en-US" w:eastAsia="lt-LT"/>
              </w:rPr>
              <w:t xml:space="preserve">: </w:t>
            </w:r>
            <w:r w:rsidR="00542633" w:rsidRPr="004E5246">
              <w:rPr>
                <w:sz w:val="20"/>
                <w:szCs w:val="20"/>
                <w:lang w:val="en-US" w:eastAsia="lt-LT"/>
              </w:rPr>
              <w:t>Entry point for LNG or other gases than biomethane should not be forgotten.</w:t>
            </w:r>
          </w:p>
        </w:tc>
        <w:tc>
          <w:tcPr>
            <w:tcW w:w="6343" w:type="dxa"/>
          </w:tcPr>
          <w:p w14:paraId="1F21DC5B" w14:textId="77777777" w:rsidR="00542633" w:rsidRPr="006B6D29" w:rsidRDefault="00542633" w:rsidP="006C2C6D">
            <w:pPr>
              <w:suppressAutoHyphens/>
              <w:ind w:left="34"/>
              <w:jc w:val="both"/>
              <w:rPr>
                <w:sz w:val="20"/>
                <w:szCs w:val="20"/>
                <w:lang w:val="en-US" w:eastAsia="lt-LT"/>
              </w:rPr>
            </w:pPr>
            <w:r w:rsidRPr="006B6D29">
              <w:rPr>
                <w:sz w:val="20"/>
                <w:szCs w:val="20"/>
                <w:lang w:val="en-US" w:eastAsia="lt-LT"/>
              </w:rPr>
              <w:lastRenderedPageBreak/>
              <w:t>Implicit capacity allocation is chosen on the Balticconnector in order to avoid costly auction platform investment for a transitory period of only two years, after which the point would be removed by Finland joining common balancing zone. European network codes do not allow for explicit capacity allocation in case of implicit capacity allocation is applied.</w:t>
            </w:r>
          </w:p>
          <w:p w14:paraId="710F4B99" w14:textId="77777777" w:rsidR="00542633" w:rsidRDefault="00542633" w:rsidP="006C2C6D">
            <w:pPr>
              <w:suppressAutoHyphens/>
              <w:ind w:left="34"/>
              <w:jc w:val="both"/>
              <w:rPr>
                <w:sz w:val="20"/>
                <w:szCs w:val="20"/>
                <w:lang w:val="en-US" w:eastAsia="lt-LT"/>
              </w:rPr>
            </w:pPr>
          </w:p>
          <w:p w14:paraId="72D423CA" w14:textId="77777777" w:rsidR="00542633" w:rsidRPr="006B6D29" w:rsidRDefault="00542633" w:rsidP="006C2C6D">
            <w:pPr>
              <w:suppressAutoHyphens/>
              <w:ind w:left="34"/>
              <w:jc w:val="both"/>
              <w:rPr>
                <w:sz w:val="20"/>
                <w:szCs w:val="20"/>
                <w:lang w:val="en-US" w:eastAsia="lt-LT"/>
              </w:rPr>
            </w:pPr>
            <w:r>
              <w:rPr>
                <w:sz w:val="20"/>
                <w:szCs w:val="20"/>
                <w:lang w:val="en-US" w:eastAsia="lt-LT"/>
              </w:rPr>
              <w:t>TSOs would like to point out that in case Balticconnector is out of service due to forced outage, TSOs would not be in position to still guarantee all capacity on the entry-exit points.</w:t>
            </w:r>
          </w:p>
          <w:p w14:paraId="4F6DFC49" w14:textId="77777777" w:rsidR="00542633" w:rsidRDefault="00542633" w:rsidP="006C2C6D">
            <w:pPr>
              <w:suppressAutoHyphens/>
              <w:ind w:left="34"/>
              <w:jc w:val="both"/>
              <w:rPr>
                <w:sz w:val="20"/>
                <w:szCs w:val="20"/>
                <w:lang w:val="en-US" w:eastAsia="lt-LT"/>
              </w:rPr>
            </w:pPr>
          </w:p>
          <w:p w14:paraId="497458C2" w14:textId="77777777" w:rsidR="00542633" w:rsidRDefault="00542633" w:rsidP="006C2C6D">
            <w:pPr>
              <w:suppressAutoHyphens/>
              <w:ind w:left="34"/>
              <w:jc w:val="both"/>
              <w:rPr>
                <w:sz w:val="20"/>
                <w:szCs w:val="20"/>
                <w:lang w:val="en-US" w:eastAsia="lt-LT"/>
              </w:rPr>
            </w:pPr>
          </w:p>
          <w:p w14:paraId="0F7DD4F5" w14:textId="77777777" w:rsidR="00542633" w:rsidRDefault="00542633" w:rsidP="006C2C6D">
            <w:pPr>
              <w:suppressAutoHyphens/>
              <w:ind w:left="34"/>
              <w:jc w:val="both"/>
              <w:rPr>
                <w:sz w:val="20"/>
                <w:szCs w:val="20"/>
                <w:lang w:val="en-US" w:eastAsia="lt-LT"/>
              </w:rPr>
            </w:pPr>
          </w:p>
          <w:p w14:paraId="695F839B" w14:textId="77777777" w:rsidR="00542633" w:rsidRDefault="00542633" w:rsidP="006C2C6D">
            <w:pPr>
              <w:suppressAutoHyphens/>
              <w:ind w:left="34"/>
              <w:jc w:val="both"/>
              <w:rPr>
                <w:sz w:val="20"/>
                <w:szCs w:val="20"/>
                <w:lang w:val="en-US" w:eastAsia="lt-LT"/>
              </w:rPr>
            </w:pPr>
          </w:p>
          <w:p w14:paraId="1048D1E4" w14:textId="77777777" w:rsidR="00542633" w:rsidRDefault="00542633" w:rsidP="006C2C6D">
            <w:pPr>
              <w:suppressAutoHyphens/>
              <w:ind w:left="34"/>
              <w:jc w:val="both"/>
              <w:rPr>
                <w:sz w:val="20"/>
                <w:szCs w:val="20"/>
                <w:lang w:val="en-US" w:eastAsia="lt-LT"/>
              </w:rPr>
            </w:pPr>
            <w:r w:rsidRPr="006B6D29">
              <w:rPr>
                <w:sz w:val="20"/>
                <w:szCs w:val="20"/>
                <w:lang w:val="en-US" w:eastAsia="lt-LT"/>
              </w:rPr>
              <w:t xml:space="preserve">Proposal </w:t>
            </w:r>
            <w:r>
              <w:rPr>
                <w:sz w:val="20"/>
                <w:szCs w:val="20"/>
                <w:lang w:val="en-US" w:eastAsia="lt-LT"/>
              </w:rPr>
              <w:t>taken into account</w:t>
            </w:r>
            <w:r w:rsidRPr="006B6D29">
              <w:rPr>
                <w:sz w:val="20"/>
                <w:szCs w:val="20"/>
                <w:lang w:val="en-US" w:eastAsia="lt-LT"/>
              </w:rPr>
              <w:t xml:space="preserve">. The principles for setting aside capacity for implicit capacity allocation on gas exchange is clarified. For FCFS capacity, </w:t>
            </w:r>
            <w:r>
              <w:rPr>
                <w:sz w:val="20"/>
                <w:szCs w:val="20"/>
                <w:lang w:val="en-US" w:eastAsia="lt-LT"/>
              </w:rPr>
              <w:t>10% of technical capacity is set aside for short-term products, as suggested by CAM NC Art. 8(7)(b).</w:t>
            </w:r>
          </w:p>
          <w:p w14:paraId="54A8BF9D" w14:textId="77777777" w:rsidR="00542633" w:rsidRDefault="00542633" w:rsidP="006C2C6D">
            <w:pPr>
              <w:suppressAutoHyphens/>
              <w:ind w:left="34"/>
              <w:jc w:val="both"/>
              <w:rPr>
                <w:sz w:val="20"/>
                <w:szCs w:val="20"/>
                <w:lang w:val="en-US" w:eastAsia="lt-LT"/>
              </w:rPr>
            </w:pPr>
          </w:p>
          <w:p w14:paraId="68CBD52E" w14:textId="77777777" w:rsidR="00542633" w:rsidRDefault="00542633" w:rsidP="006C2C6D">
            <w:pPr>
              <w:suppressAutoHyphens/>
              <w:ind w:left="34"/>
              <w:jc w:val="both"/>
              <w:rPr>
                <w:sz w:val="20"/>
                <w:szCs w:val="20"/>
                <w:lang w:val="en-US" w:eastAsia="lt-LT"/>
              </w:rPr>
            </w:pPr>
          </w:p>
          <w:p w14:paraId="6EBE3C2C" w14:textId="77777777" w:rsidR="00542633" w:rsidRDefault="00542633" w:rsidP="006C2C6D">
            <w:pPr>
              <w:suppressAutoHyphens/>
              <w:ind w:left="34"/>
              <w:jc w:val="both"/>
              <w:rPr>
                <w:sz w:val="20"/>
                <w:szCs w:val="20"/>
                <w:lang w:val="en-US" w:eastAsia="lt-LT"/>
              </w:rPr>
            </w:pPr>
          </w:p>
          <w:p w14:paraId="1317447F" w14:textId="77777777" w:rsidR="00542633" w:rsidRDefault="00542633" w:rsidP="006C2C6D">
            <w:pPr>
              <w:suppressAutoHyphens/>
              <w:ind w:left="34"/>
              <w:jc w:val="both"/>
              <w:rPr>
                <w:sz w:val="20"/>
                <w:szCs w:val="20"/>
                <w:lang w:val="en-US" w:eastAsia="lt-LT"/>
              </w:rPr>
            </w:pPr>
          </w:p>
          <w:p w14:paraId="7EAB6DD0" w14:textId="77777777" w:rsidR="00542633" w:rsidRDefault="00542633" w:rsidP="006C2C6D">
            <w:pPr>
              <w:suppressAutoHyphens/>
              <w:ind w:left="34"/>
              <w:jc w:val="both"/>
              <w:rPr>
                <w:sz w:val="20"/>
                <w:szCs w:val="20"/>
                <w:lang w:val="en-US" w:eastAsia="lt-LT"/>
              </w:rPr>
            </w:pPr>
          </w:p>
          <w:p w14:paraId="11A0AED0" w14:textId="77777777" w:rsidR="00542633" w:rsidRDefault="00542633" w:rsidP="006C2C6D">
            <w:pPr>
              <w:suppressAutoHyphens/>
              <w:ind w:left="34"/>
              <w:jc w:val="both"/>
              <w:rPr>
                <w:sz w:val="20"/>
                <w:szCs w:val="20"/>
                <w:lang w:val="en-US" w:eastAsia="lt-LT"/>
              </w:rPr>
            </w:pPr>
          </w:p>
          <w:p w14:paraId="5C5F2AEA" w14:textId="77777777" w:rsidR="00542633" w:rsidRDefault="00542633" w:rsidP="006C2C6D">
            <w:pPr>
              <w:suppressAutoHyphens/>
              <w:jc w:val="both"/>
              <w:rPr>
                <w:sz w:val="20"/>
                <w:szCs w:val="20"/>
                <w:lang w:val="en-US" w:eastAsia="lt-LT"/>
              </w:rPr>
            </w:pPr>
          </w:p>
          <w:p w14:paraId="49FE4C8B" w14:textId="77777777" w:rsidR="00542633" w:rsidRPr="00EF5298" w:rsidRDefault="00542633" w:rsidP="006C2C6D">
            <w:pPr>
              <w:suppressAutoHyphens/>
              <w:ind w:left="34"/>
              <w:jc w:val="both"/>
              <w:rPr>
                <w:sz w:val="20"/>
                <w:szCs w:val="20"/>
                <w:lang w:val="en-US" w:eastAsia="lt-LT"/>
              </w:rPr>
            </w:pPr>
            <w:r w:rsidRPr="006B6D29">
              <w:rPr>
                <w:sz w:val="20"/>
                <w:szCs w:val="20"/>
                <w:lang w:val="en-US" w:eastAsia="lt-LT"/>
              </w:rPr>
              <w:t xml:space="preserve">Proposal </w:t>
            </w:r>
            <w:r>
              <w:rPr>
                <w:sz w:val="20"/>
                <w:szCs w:val="20"/>
                <w:lang w:val="en-US" w:eastAsia="lt-LT"/>
              </w:rPr>
              <w:t>taken into account</w:t>
            </w:r>
            <w:r w:rsidRPr="006B6D29">
              <w:rPr>
                <w:sz w:val="20"/>
                <w:szCs w:val="20"/>
                <w:lang w:val="en-US" w:eastAsia="lt-LT"/>
              </w:rPr>
              <w:t>.</w:t>
            </w:r>
          </w:p>
        </w:tc>
      </w:tr>
      <w:tr w:rsidR="00542633" w:rsidRPr="008B1593" w14:paraId="5CEB8F5B" w14:textId="77777777" w:rsidTr="00795AD6">
        <w:trPr>
          <w:trHeight w:val="659"/>
        </w:trPr>
        <w:tc>
          <w:tcPr>
            <w:tcW w:w="2830" w:type="dxa"/>
          </w:tcPr>
          <w:p w14:paraId="7121299B" w14:textId="77777777" w:rsidR="00542633" w:rsidRPr="008B1593" w:rsidRDefault="00542633" w:rsidP="00827BED">
            <w:pPr>
              <w:tabs>
                <w:tab w:val="left" w:pos="851"/>
              </w:tabs>
              <w:suppressAutoHyphens/>
              <w:jc w:val="both"/>
              <w:textAlignment w:val="baseline"/>
              <w:rPr>
                <w:sz w:val="20"/>
                <w:szCs w:val="20"/>
                <w:lang w:val="en-US" w:eastAsia="lt-LT"/>
              </w:rPr>
            </w:pPr>
            <w:r w:rsidRPr="008B1593">
              <w:rPr>
                <w:sz w:val="20"/>
                <w:szCs w:val="20"/>
                <w:lang w:val="en-US" w:eastAsia="lt-LT"/>
              </w:rPr>
              <w:lastRenderedPageBreak/>
              <w:t>4.1. Capacity allocation mechanism set out in these standard terms and conditions shall apply at all entry and exit points with exception on:</w:t>
            </w:r>
          </w:p>
          <w:p w14:paraId="20461805" w14:textId="77777777" w:rsidR="00542633" w:rsidRPr="008B1593" w:rsidRDefault="00542633" w:rsidP="00827BED">
            <w:pPr>
              <w:tabs>
                <w:tab w:val="left" w:pos="851"/>
              </w:tabs>
              <w:suppressAutoHyphens/>
              <w:jc w:val="both"/>
              <w:textAlignment w:val="baseline"/>
              <w:rPr>
                <w:sz w:val="20"/>
                <w:szCs w:val="20"/>
                <w:lang w:val="en-US" w:eastAsia="lt-LT"/>
              </w:rPr>
            </w:pPr>
            <w:r w:rsidRPr="008B1593">
              <w:rPr>
                <w:sz w:val="20"/>
                <w:szCs w:val="20"/>
                <w:lang w:val="en-US" w:eastAsia="lt-LT"/>
              </w:rPr>
              <w:t>&lt;...&gt;</w:t>
            </w:r>
          </w:p>
          <w:p w14:paraId="3C144345" w14:textId="77777777" w:rsidR="00542633" w:rsidRPr="008B1593" w:rsidRDefault="00542633" w:rsidP="00827BED">
            <w:pPr>
              <w:tabs>
                <w:tab w:val="left" w:pos="851"/>
              </w:tabs>
              <w:suppressAutoHyphens/>
              <w:jc w:val="both"/>
              <w:textAlignment w:val="baseline"/>
              <w:rPr>
                <w:sz w:val="20"/>
                <w:szCs w:val="20"/>
                <w:lang w:val="en-US" w:eastAsia="lt-LT"/>
              </w:rPr>
            </w:pPr>
            <w:r w:rsidRPr="008B1593">
              <w:rPr>
                <w:sz w:val="20"/>
                <w:szCs w:val="20"/>
                <w:lang w:val="en-US" w:eastAsia="lt-LT"/>
              </w:rPr>
              <w:t>4.1.2. Exit to Estonian Domestic consumption;</w:t>
            </w:r>
          </w:p>
          <w:p w14:paraId="70658488" w14:textId="77777777" w:rsidR="00542633" w:rsidRPr="008B1593" w:rsidRDefault="00542633" w:rsidP="00827BED">
            <w:pPr>
              <w:tabs>
                <w:tab w:val="left" w:pos="851"/>
              </w:tabs>
              <w:suppressAutoHyphens/>
              <w:jc w:val="both"/>
              <w:textAlignment w:val="baseline"/>
              <w:rPr>
                <w:sz w:val="20"/>
                <w:szCs w:val="20"/>
                <w:lang w:val="en-US" w:eastAsia="lt-LT"/>
              </w:rPr>
            </w:pPr>
            <w:r w:rsidRPr="008B1593">
              <w:rPr>
                <w:sz w:val="20"/>
                <w:szCs w:val="20"/>
                <w:lang w:val="en-US" w:eastAsia="lt-LT"/>
              </w:rPr>
              <w:t>4.1.3. Exit to Latvian Domestic consumption</w:t>
            </w:r>
          </w:p>
        </w:tc>
        <w:tc>
          <w:tcPr>
            <w:tcW w:w="6521" w:type="dxa"/>
          </w:tcPr>
          <w:p w14:paraId="019A46C7" w14:textId="6462E068" w:rsidR="00542633" w:rsidRPr="008B1593" w:rsidRDefault="00B83638" w:rsidP="00827BED">
            <w:pPr>
              <w:tabs>
                <w:tab w:val="left" w:pos="851"/>
              </w:tabs>
              <w:suppressAutoHyphens/>
              <w:ind w:left="34"/>
              <w:jc w:val="both"/>
              <w:textAlignment w:val="baseline"/>
              <w:rPr>
                <w:sz w:val="20"/>
                <w:szCs w:val="20"/>
                <w:lang w:val="en-US" w:eastAsia="lt-LT"/>
              </w:rPr>
            </w:pPr>
            <w:r>
              <w:rPr>
                <w:b/>
                <w:sz w:val="20"/>
                <w:szCs w:val="20"/>
                <w:lang w:val="en-US"/>
              </w:rPr>
              <w:t>Stakeholder 1</w:t>
            </w:r>
            <w:r w:rsidR="00542633">
              <w:rPr>
                <w:b/>
                <w:lang w:val="en-US"/>
              </w:rPr>
              <w:t>:</w:t>
            </w:r>
            <w:r w:rsidR="00542633" w:rsidRPr="008B1593">
              <w:rPr>
                <w:b/>
                <w:sz w:val="20"/>
                <w:szCs w:val="20"/>
                <w:lang w:val="en-US"/>
              </w:rPr>
              <w:t xml:space="preserve"> </w:t>
            </w:r>
            <w:r w:rsidR="00542633" w:rsidRPr="008B1593">
              <w:rPr>
                <w:sz w:val="20"/>
                <w:szCs w:val="20"/>
                <w:lang w:val="en-US" w:eastAsia="lt-LT"/>
              </w:rPr>
              <w:t>Considering that LT TSO could join the common entry-exit system in the future it is important to mention that:</w:t>
            </w:r>
          </w:p>
          <w:p w14:paraId="1699ED07" w14:textId="77777777" w:rsidR="00542633" w:rsidRPr="008B1593" w:rsidRDefault="00542633" w:rsidP="00827BED">
            <w:pPr>
              <w:tabs>
                <w:tab w:val="left" w:pos="851"/>
              </w:tabs>
              <w:suppressAutoHyphens/>
              <w:ind w:left="34"/>
              <w:jc w:val="both"/>
              <w:textAlignment w:val="baseline"/>
              <w:rPr>
                <w:sz w:val="20"/>
                <w:szCs w:val="20"/>
                <w:lang w:val="en-US" w:eastAsia="lt-LT"/>
              </w:rPr>
            </w:pPr>
          </w:p>
          <w:p w14:paraId="2A26E9E1" w14:textId="77777777" w:rsidR="00542633" w:rsidRPr="008B1593" w:rsidRDefault="00542633" w:rsidP="00827BED">
            <w:pPr>
              <w:tabs>
                <w:tab w:val="left" w:pos="851"/>
              </w:tabs>
              <w:suppressAutoHyphens/>
              <w:ind w:left="34"/>
              <w:jc w:val="both"/>
              <w:textAlignment w:val="baseline"/>
              <w:rPr>
                <w:sz w:val="20"/>
                <w:szCs w:val="20"/>
                <w:lang w:val="en-US" w:eastAsia="lt-LT"/>
              </w:rPr>
            </w:pPr>
            <w:r w:rsidRPr="008B1593">
              <w:rPr>
                <w:sz w:val="20"/>
                <w:szCs w:val="20"/>
                <w:lang w:val="en-US" w:eastAsia="lt-LT"/>
              </w:rPr>
              <w:t>Regarding AB “Amber Grid” rules</w:t>
            </w:r>
            <w:r w:rsidRPr="008B1593">
              <w:rPr>
                <w:rStyle w:val="FootnoteReference"/>
                <w:sz w:val="20"/>
                <w:szCs w:val="20"/>
                <w:lang w:val="en-US" w:eastAsia="lt-LT"/>
              </w:rPr>
              <w:footnoteReference w:id="3"/>
            </w:r>
            <w:r w:rsidRPr="008B1593">
              <w:rPr>
                <w:sz w:val="20"/>
                <w:szCs w:val="20"/>
                <w:lang w:val="en-US" w:eastAsia="lt-LT"/>
              </w:rPr>
              <w:t xml:space="preserve"> (hereinafter – Amber Grid rules), various duration capacity products are applied for all entry and exit points.</w:t>
            </w:r>
          </w:p>
          <w:p w14:paraId="31E734E5" w14:textId="77777777" w:rsidR="00542633" w:rsidRPr="008B1593" w:rsidRDefault="00542633" w:rsidP="00827BED">
            <w:pPr>
              <w:tabs>
                <w:tab w:val="left" w:pos="851"/>
              </w:tabs>
              <w:suppressAutoHyphens/>
              <w:ind w:left="34"/>
              <w:jc w:val="both"/>
              <w:textAlignment w:val="baseline"/>
              <w:rPr>
                <w:sz w:val="20"/>
                <w:szCs w:val="20"/>
                <w:lang w:val="en-US" w:eastAsia="lt-LT"/>
              </w:rPr>
            </w:pPr>
          </w:p>
          <w:p w14:paraId="0DE4F05A" w14:textId="77777777" w:rsidR="00542633" w:rsidRPr="008B1593" w:rsidRDefault="00542633" w:rsidP="00827BED">
            <w:pPr>
              <w:tabs>
                <w:tab w:val="left" w:pos="851"/>
              </w:tabs>
              <w:suppressAutoHyphens/>
              <w:ind w:left="34"/>
              <w:jc w:val="both"/>
              <w:textAlignment w:val="baseline"/>
              <w:rPr>
                <w:sz w:val="20"/>
                <w:szCs w:val="20"/>
                <w:lang w:val="en-US" w:eastAsia="lt-LT"/>
              </w:rPr>
            </w:pPr>
            <w:r w:rsidRPr="008B1593">
              <w:rPr>
                <w:sz w:val="20"/>
                <w:szCs w:val="20"/>
                <w:lang w:val="en-US" w:eastAsia="lt-LT"/>
              </w:rPr>
              <w:t>Gas Regulation Article 14 stipulates that:</w:t>
            </w:r>
          </w:p>
          <w:p w14:paraId="22E55C8A" w14:textId="77777777" w:rsidR="00542633" w:rsidRPr="008B1593" w:rsidRDefault="00542633" w:rsidP="00827BED">
            <w:pPr>
              <w:tabs>
                <w:tab w:val="left" w:pos="851"/>
              </w:tabs>
              <w:suppressAutoHyphens/>
              <w:ind w:left="34"/>
              <w:jc w:val="both"/>
              <w:textAlignment w:val="baseline"/>
              <w:rPr>
                <w:i/>
                <w:sz w:val="20"/>
                <w:szCs w:val="20"/>
                <w:lang w:val="en-US" w:eastAsia="lt-LT"/>
              </w:rPr>
            </w:pPr>
            <w:r w:rsidRPr="008B1593">
              <w:rPr>
                <w:sz w:val="20"/>
                <w:szCs w:val="20"/>
                <w:lang w:val="en-US" w:eastAsia="lt-LT"/>
              </w:rPr>
              <w:t>“</w:t>
            </w:r>
            <w:r w:rsidRPr="008B1593">
              <w:rPr>
                <w:i/>
                <w:sz w:val="20"/>
                <w:szCs w:val="20"/>
                <w:lang w:val="en-US" w:eastAsia="lt-LT"/>
              </w:rPr>
              <w:t>1. Transmission system operators shall:</w:t>
            </w:r>
          </w:p>
          <w:p w14:paraId="541BDFED" w14:textId="77777777" w:rsidR="00542633" w:rsidRPr="008B1593" w:rsidRDefault="00542633" w:rsidP="00827BED">
            <w:pPr>
              <w:tabs>
                <w:tab w:val="left" w:pos="851"/>
              </w:tabs>
              <w:suppressAutoHyphens/>
              <w:ind w:left="34"/>
              <w:jc w:val="both"/>
              <w:textAlignment w:val="baseline"/>
              <w:rPr>
                <w:i/>
                <w:sz w:val="20"/>
                <w:szCs w:val="20"/>
                <w:lang w:val="en-US" w:eastAsia="lt-LT"/>
              </w:rPr>
            </w:pPr>
            <w:r w:rsidRPr="008B1593">
              <w:rPr>
                <w:i/>
                <w:sz w:val="20"/>
                <w:szCs w:val="20"/>
                <w:lang w:val="en-US" w:eastAsia="lt-LT"/>
              </w:rPr>
              <w:t xml:space="preserve">(a) ensure that they offer services on a </w:t>
            </w:r>
            <w:r w:rsidRPr="008B1593">
              <w:rPr>
                <w:b/>
                <w:i/>
                <w:sz w:val="20"/>
                <w:szCs w:val="20"/>
                <w:lang w:val="en-US" w:eastAsia="lt-LT"/>
              </w:rPr>
              <w:t>non-discriminatory basis to all network users</w:t>
            </w:r>
            <w:r w:rsidRPr="008B1593">
              <w:rPr>
                <w:i/>
                <w:sz w:val="20"/>
                <w:szCs w:val="20"/>
                <w:lang w:val="en-US" w:eastAsia="lt-LT"/>
              </w:rPr>
              <w:t>;</w:t>
            </w:r>
          </w:p>
          <w:p w14:paraId="4C6A7BB9" w14:textId="77777777" w:rsidR="00542633" w:rsidRPr="008B1593" w:rsidRDefault="00542633" w:rsidP="00827BED">
            <w:pPr>
              <w:tabs>
                <w:tab w:val="left" w:pos="851"/>
              </w:tabs>
              <w:suppressAutoHyphens/>
              <w:ind w:left="34"/>
              <w:jc w:val="both"/>
              <w:textAlignment w:val="baseline"/>
              <w:rPr>
                <w:i/>
                <w:sz w:val="20"/>
                <w:szCs w:val="20"/>
                <w:lang w:val="en-US" w:eastAsia="lt-LT"/>
              </w:rPr>
            </w:pPr>
            <w:r w:rsidRPr="008B1593">
              <w:rPr>
                <w:i/>
                <w:sz w:val="20"/>
                <w:szCs w:val="20"/>
                <w:lang w:val="en-US" w:eastAsia="lt-LT"/>
              </w:rPr>
              <w:t>&lt;…&gt;</w:t>
            </w:r>
          </w:p>
          <w:p w14:paraId="2C194AAA" w14:textId="1640FD14" w:rsidR="00542633" w:rsidRPr="008B1593" w:rsidRDefault="00542633" w:rsidP="00827BED">
            <w:pPr>
              <w:tabs>
                <w:tab w:val="left" w:pos="851"/>
              </w:tabs>
              <w:suppressAutoHyphens/>
              <w:ind w:left="34"/>
              <w:jc w:val="both"/>
              <w:textAlignment w:val="baseline"/>
              <w:rPr>
                <w:i/>
                <w:sz w:val="20"/>
                <w:szCs w:val="20"/>
                <w:lang w:val="en-US" w:eastAsia="lt-LT"/>
              </w:rPr>
            </w:pPr>
            <w:r w:rsidRPr="008B1593">
              <w:rPr>
                <w:i/>
                <w:sz w:val="20"/>
                <w:szCs w:val="20"/>
                <w:lang w:val="en-US" w:eastAsia="lt-LT"/>
              </w:rPr>
              <w:t>In regard to point (a) of the first subparagraph, where a transmission system operator offers the same service to different customers, it shall do so under equivalent contractual terms and conditions, either using harmoni</w:t>
            </w:r>
            <w:r w:rsidR="000C639F">
              <w:rPr>
                <w:i/>
                <w:sz w:val="20"/>
                <w:szCs w:val="20"/>
                <w:lang w:val="en-US" w:eastAsia="lt-LT"/>
              </w:rPr>
              <w:t>z</w:t>
            </w:r>
            <w:r w:rsidRPr="008B1593">
              <w:rPr>
                <w:i/>
                <w:sz w:val="20"/>
                <w:szCs w:val="20"/>
                <w:lang w:val="en-US" w:eastAsia="lt-LT"/>
              </w:rPr>
              <w:t>ed transport contracts or a common network code approved by the competent authority in accordance with the procedure laid down in Article 41 of Directive 2009/73/EC.“</w:t>
            </w:r>
          </w:p>
          <w:p w14:paraId="61522928" w14:textId="77777777" w:rsidR="00542633" w:rsidRPr="008B1593" w:rsidRDefault="00542633" w:rsidP="00827BED">
            <w:pPr>
              <w:tabs>
                <w:tab w:val="left" w:pos="851"/>
              </w:tabs>
              <w:suppressAutoHyphens/>
              <w:ind w:left="34"/>
              <w:jc w:val="both"/>
              <w:textAlignment w:val="baseline"/>
              <w:rPr>
                <w:sz w:val="20"/>
                <w:szCs w:val="20"/>
                <w:lang w:val="en-US" w:eastAsia="lt-LT"/>
              </w:rPr>
            </w:pPr>
          </w:p>
          <w:p w14:paraId="2801D5B9" w14:textId="77777777" w:rsidR="00542633" w:rsidRPr="008B1593" w:rsidRDefault="00542633" w:rsidP="00827BED">
            <w:pPr>
              <w:tabs>
                <w:tab w:val="left" w:pos="851"/>
              </w:tabs>
              <w:suppressAutoHyphens/>
              <w:ind w:left="34"/>
              <w:jc w:val="both"/>
              <w:textAlignment w:val="baseline"/>
              <w:rPr>
                <w:sz w:val="20"/>
                <w:szCs w:val="20"/>
                <w:lang w:val="en-US" w:eastAsia="lt-LT"/>
              </w:rPr>
            </w:pPr>
            <w:r w:rsidRPr="008B1593">
              <w:rPr>
                <w:sz w:val="20"/>
                <w:szCs w:val="20"/>
                <w:lang w:val="en-US" w:eastAsia="lt-LT"/>
              </w:rPr>
              <w:t>Consequently, if LT TSO offer various duration capacity products, both LV and EE TSO imperatively should as well offer the same products, because the same products have to be offered at a whole entry-exit zone (common balancing zone) because otherwise network users connected to the LV and EE TSOs would be discriminated and Gas Regulation Art. 14 (1) would be breached. Considering previous justifications, the same products should be offered at LV TSO and at EE TSO areas.</w:t>
            </w:r>
          </w:p>
          <w:p w14:paraId="6970ED27" w14:textId="77777777" w:rsidR="00542633" w:rsidRPr="008B1593" w:rsidRDefault="00542633" w:rsidP="00827BED">
            <w:pPr>
              <w:tabs>
                <w:tab w:val="left" w:pos="851"/>
              </w:tabs>
              <w:suppressAutoHyphens/>
              <w:ind w:left="34"/>
              <w:jc w:val="both"/>
              <w:textAlignment w:val="baseline"/>
              <w:rPr>
                <w:sz w:val="20"/>
                <w:szCs w:val="20"/>
                <w:lang w:val="en-US" w:eastAsia="lt-LT"/>
              </w:rPr>
            </w:pPr>
          </w:p>
          <w:p w14:paraId="2C46CDEE" w14:textId="7C29AD68" w:rsidR="00542633" w:rsidRPr="008B1593" w:rsidRDefault="00542633" w:rsidP="000C639F">
            <w:pPr>
              <w:tabs>
                <w:tab w:val="left" w:pos="851"/>
              </w:tabs>
              <w:suppressAutoHyphens/>
              <w:ind w:left="34"/>
              <w:jc w:val="both"/>
              <w:textAlignment w:val="baseline"/>
              <w:rPr>
                <w:sz w:val="20"/>
                <w:szCs w:val="20"/>
                <w:lang w:val="en-US" w:eastAsia="lt-LT"/>
              </w:rPr>
            </w:pPr>
            <w:r w:rsidRPr="008B1593">
              <w:rPr>
                <w:sz w:val="20"/>
                <w:szCs w:val="20"/>
                <w:lang w:val="en-US" w:eastAsia="lt-LT"/>
              </w:rPr>
              <w:t>Since there is a goal to ultimately create single FI-LV-EE-LT market we strongly encourage to harmoni</w:t>
            </w:r>
            <w:r w:rsidR="000C639F">
              <w:rPr>
                <w:sz w:val="20"/>
                <w:szCs w:val="20"/>
                <w:lang w:val="en-US" w:eastAsia="lt-LT"/>
              </w:rPr>
              <w:t>z</w:t>
            </w:r>
            <w:r w:rsidRPr="008B1593">
              <w:rPr>
                <w:sz w:val="20"/>
                <w:szCs w:val="20"/>
                <w:lang w:val="en-US" w:eastAsia="lt-LT"/>
              </w:rPr>
              <w:t xml:space="preserve">e this document as much as currently possible. </w:t>
            </w:r>
            <w:r w:rsidRPr="008B1593">
              <w:rPr>
                <w:sz w:val="20"/>
                <w:szCs w:val="20"/>
                <w:lang w:val="en-US" w:eastAsia="lt-LT"/>
              </w:rPr>
              <w:lastRenderedPageBreak/>
              <w:t>We advise to establish an interim solutions / steps in this document (e. g. since 2020 or since 2022 other products are offered as well etc.)</w:t>
            </w:r>
          </w:p>
        </w:tc>
        <w:tc>
          <w:tcPr>
            <w:tcW w:w="6343" w:type="dxa"/>
          </w:tcPr>
          <w:p w14:paraId="3356F85B" w14:textId="77777777" w:rsidR="00542633" w:rsidRPr="00EF5298" w:rsidRDefault="00542633" w:rsidP="0069585B">
            <w:pPr>
              <w:tabs>
                <w:tab w:val="left" w:pos="851"/>
              </w:tabs>
              <w:suppressAutoHyphens/>
              <w:jc w:val="both"/>
              <w:textAlignment w:val="baseline"/>
              <w:rPr>
                <w:sz w:val="20"/>
                <w:szCs w:val="20"/>
                <w:lang w:val="en-US" w:eastAsia="lt-LT"/>
              </w:rPr>
            </w:pPr>
            <w:r w:rsidRPr="00EF5298">
              <w:rPr>
                <w:sz w:val="20"/>
                <w:szCs w:val="20"/>
                <w:lang w:val="en-US" w:eastAsia="lt-LT"/>
              </w:rPr>
              <w:lastRenderedPageBreak/>
              <w:t xml:space="preserve">Proposal not taken into account. </w:t>
            </w:r>
          </w:p>
          <w:p w14:paraId="2A828D2E" w14:textId="05E57994" w:rsidR="00542633" w:rsidRPr="00EF5298" w:rsidRDefault="00542633" w:rsidP="0069585B">
            <w:pPr>
              <w:tabs>
                <w:tab w:val="left" w:pos="851"/>
              </w:tabs>
              <w:suppressAutoHyphens/>
              <w:jc w:val="both"/>
              <w:textAlignment w:val="baseline"/>
              <w:rPr>
                <w:sz w:val="20"/>
                <w:szCs w:val="20"/>
                <w:lang w:val="en-US" w:eastAsia="lt-LT"/>
              </w:rPr>
            </w:pPr>
            <w:r w:rsidRPr="00EF5298">
              <w:rPr>
                <w:sz w:val="20"/>
                <w:szCs w:val="20"/>
                <w:lang w:val="en-US" w:eastAsia="lt-LT"/>
              </w:rPr>
              <w:t xml:space="preserve">It was agreed among all </w:t>
            </w:r>
            <w:r>
              <w:rPr>
                <w:sz w:val="20"/>
                <w:szCs w:val="20"/>
                <w:lang w:val="en-US" w:eastAsia="lt-LT"/>
              </w:rPr>
              <w:t>the involved TSO</w:t>
            </w:r>
            <w:r w:rsidR="000C639F">
              <w:rPr>
                <w:sz w:val="20"/>
                <w:szCs w:val="20"/>
                <w:lang w:val="en-US" w:eastAsia="lt-LT"/>
              </w:rPr>
              <w:t xml:space="preserve"> </w:t>
            </w:r>
            <w:r w:rsidRPr="00EF5298">
              <w:rPr>
                <w:sz w:val="20"/>
                <w:szCs w:val="20"/>
                <w:lang w:val="en-US" w:eastAsia="lt-LT"/>
              </w:rPr>
              <w:t xml:space="preserve">which prepared to </w:t>
            </w:r>
            <w:r>
              <w:rPr>
                <w:sz w:val="20"/>
                <w:szCs w:val="20"/>
                <w:lang w:val="en-US" w:eastAsia="lt-LT"/>
              </w:rPr>
              <w:t>create a</w:t>
            </w:r>
            <w:r w:rsidRPr="00EF5298">
              <w:rPr>
                <w:sz w:val="20"/>
                <w:szCs w:val="20"/>
                <w:lang w:val="en-US" w:eastAsia="lt-LT"/>
              </w:rPr>
              <w:t xml:space="preserve"> </w:t>
            </w:r>
            <w:r>
              <w:rPr>
                <w:sz w:val="20"/>
                <w:szCs w:val="20"/>
                <w:lang w:val="en-US" w:eastAsia="lt-LT"/>
              </w:rPr>
              <w:t>c</w:t>
            </w:r>
            <w:r w:rsidRPr="00EF5298">
              <w:rPr>
                <w:sz w:val="20"/>
                <w:szCs w:val="20"/>
                <w:lang w:val="en-US" w:eastAsia="lt-LT"/>
              </w:rPr>
              <w:t>ommon</w:t>
            </w:r>
            <w:r>
              <w:rPr>
                <w:sz w:val="20"/>
                <w:szCs w:val="20"/>
                <w:lang w:val="en-US" w:eastAsia="lt-LT"/>
              </w:rPr>
              <w:t xml:space="preserve"> balancing</w:t>
            </w:r>
            <w:r w:rsidRPr="00EF5298">
              <w:rPr>
                <w:sz w:val="20"/>
                <w:szCs w:val="20"/>
                <w:lang w:val="en-US" w:eastAsia="lt-LT"/>
              </w:rPr>
              <w:t xml:space="preserve"> </w:t>
            </w:r>
            <w:r>
              <w:rPr>
                <w:sz w:val="20"/>
                <w:szCs w:val="20"/>
                <w:lang w:val="en-US" w:eastAsia="lt-LT"/>
              </w:rPr>
              <w:t>z</w:t>
            </w:r>
            <w:r w:rsidRPr="00EF5298">
              <w:rPr>
                <w:sz w:val="20"/>
                <w:szCs w:val="20"/>
                <w:lang w:val="en-US" w:eastAsia="lt-LT"/>
              </w:rPr>
              <w:t>one (including Lithuania</w:t>
            </w:r>
            <w:r>
              <w:rPr>
                <w:sz w:val="20"/>
                <w:szCs w:val="20"/>
                <w:lang w:val="en-US" w:eastAsia="lt-LT"/>
              </w:rPr>
              <w:t>n TSO</w:t>
            </w:r>
            <w:r w:rsidRPr="00EF5298">
              <w:rPr>
                <w:sz w:val="20"/>
                <w:szCs w:val="20"/>
                <w:lang w:val="en-US" w:eastAsia="lt-LT"/>
              </w:rPr>
              <w:t>), that national regulations concerning distribution would not be harmonized at this stage, because of differences in exit tariff calculation, capacity allocation principles and remuneration process.</w:t>
            </w:r>
          </w:p>
          <w:p w14:paraId="6D6EFA8B" w14:textId="77777777" w:rsidR="00542633" w:rsidRPr="00EF5298" w:rsidRDefault="00542633" w:rsidP="00A2020B">
            <w:pPr>
              <w:tabs>
                <w:tab w:val="left" w:pos="851"/>
              </w:tabs>
              <w:suppressAutoHyphens/>
              <w:ind w:left="34"/>
              <w:jc w:val="both"/>
              <w:textAlignment w:val="baseline"/>
              <w:rPr>
                <w:sz w:val="20"/>
                <w:szCs w:val="20"/>
                <w:lang w:val="en-US" w:eastAsia="lt-LT"/>
              </w:rPr>
            </w:pPr>
            <w:r w:rsidRPr="00EF5298">
              <w:rPr>
                <w:sz w:val="20"/>
                <w:szCs w:val="20"/>
                <w:lang w:val="en-US" w:eastAsia="lt-LT"/>
              </w:rPr>
              <w:t xml:space="preserve">In TSOs view, discrimination will not occur because all network users will have the same rules of access to the same national domestic exit points. </w:t>
            </w:r>
          </w:p>
        </w:tc>
      </w:tr>
      <w:tr w:rsidR="00542633" w:rsidRPr="008B1593" w14:paraId="1417D1E3" w14:textId="77777777" w:rsidTr="00795AD6">
        <w:trPr>
          <w:trHeight w:val="659"/>
        </w:trPr>
        <w:tc>
          <w:tcPr>
            <w:tcW w:w="2830" w:type="dxa"/>
          </w:tcPr>
          <w:p w14:paraId="53E78135" w14:textId="77777777" w:rsidR="00542633" w:rsidRPr="008B1593" w:rsidRDefault="00542633" w:rsidP="00827BED">
            <w:pPr>
              <w:tabs>
                <w:tab w:val="left" w:pos="851"/>
              </w:tabs>
              <w:suppressAutoHyphens/>
              <w:jc w:val="both"/>
              <w:textAlignment w:val="baseline"/>
              <w:rPr>
                <w:sz w:val="20"/>
                <w:szCs w:val="20"/>
                <w:lang w:val="en-US" w:eastAsia="lt-LT"/>
              </w:rPr>
            </w:pPr>
            <w:r w:rsidRPr="008B1593">
              <w:rPr>
                <w:sz w:val="20"/>
                <w:szCs w:val="20"/>
                <w:lang w:val="en-US" w:eastAsia="lt-LT"/>
              </w:rPr>
              <w:t>&lt;...&gt;</w:t>
            </w:r>
          </w:p>
          <w:p w14:paraId="73549E59" w14:textId="77777777" w:rsidR="00542633" w:rsidRPr="008B1593" w:rsidRDefault="00542633" w:rsidP="00827BED">
            <w:pPr>
              <w:tabs>
                <w:tab w:val="left" w:pos="851"/>
              </w:tabs>
              <w:suppressAutoHyphens/>
              <w:jc w:val="both"/>
              <w:textAlignment w:val="baseline"/>
              <w:rPr>
                <w:sz w:val="20"/>
                <w:szCs w:val="20"/>
                <w:lang w:val="en-US" w:eastAsia="lt-LT"/>
              </w:rPr>
            </w:pPr>
            <w:r w:rsidRPr="008B1593">
              <w:rPr>
                <w:sz w:val="20"/>
                <w:szCs w:val="20"/>
                <w:lang w:val="en-US" w:eastAsia="lt-LT"/>
              </w:rPr>
              <w:t>4.1.4. Entry from Estonian production</w:t>
            </w:r>
          </w:p>
          <w:p w14:paraId="104BC335" w14:textId="77777777" w:rsidR="00542633" w:rsidRPr="008B1593" w:rsidRDefault="00542633" w:rsidP="00827BED">
            <w:pPr>
              <w:tabs>
                <w:tab w:val="left" w:pos="851"/>
              </w:tabs>
              <w:suppressAutoHyphens/>
              <w:jc w:val="both"/>
              <w:textAlignment w:val="baseline"/>
              <w:rPr>
                <w:sz w:val="20"/>
                <w:szCs w:val="20"/>
                <w:lang w:val="en-US"/>
              </w:rPr>
            </w:pPr>
            <w:r w:rsidRPr="008B1593">
              <w:rPr>
                <w:sz w:val="20"/>
                <w:szCs w:val="20"/>
                <w:lang w:val="en-US" w:eastAsia="lt-LT"/>
              </w:rPr>
              <w:t>4.1.5 Entry from Latvian production</w:t>
            </w:r>
          </w:p>
        </w:tc>
        <w:tc>
          <w:tcPr>
            <w:tcW w:w="6521" w:type="dxa"/>
          </w:tcPr>
          <w:p w14:paraId="458C79EE" w14:textId="1DE0B957" w:rsidR="00542633" w:rsidRPr="008B1593" w:rsidRDefault="00B83638" w:rsidP="00827BED">
            <w:pPr>
              <w:tabs>
                <w:tab w:val="left" w:pos="851"/>
              </w:tabs>
              <w:suppressAutoHyphens/>
              <w:ind w:left="34"/>
              <w:jc w:val="both"/>
              <w:textAlignment w:val="baseline"/>
              <w:rPr>
                <w:sz w:val="20"/>
                <w:szCs w:val="20"/>
                <w:lang w:val="en-US" w:eastAsia="lt-LT"/>
              </w:rPr>
            </w:pPr>
            <w:r>
              <w:rPr>
                <w:b/>
                <w:sz w:val="20"/>
                <w:szCs w:val="20"/>
                <w:lang w:val="en-US"/>
              </w:rPr>
              <w:t>Stakeholder 1</w:t>
            </w:r>
            <w:r w:rsidR="00542633">
              <w:rPr>
                <w:b/>
                <w:lang w:val="en-US"/>
              </w:rPr>
              <w:t>:</w:t>
            </w:r>
            <w:r w:rsidR="00542633" w:rsidRPr="008B1593">
              <w:rPr>
                <w:b/>
                <w:sz w:val="20"/>
                <w:szCs w:val="20"/>
                <w:lang w:val="en-US"/>
              </w:rPr>
              <w:t xml:space="preserve"> </w:t>
            </w:r>
            <w:r w:rsidR="00542633" w:rsidRPr="008B1593">
              <w:rPr>
                <w:sz w:val="20"/>
                <w:szCs w:val="20"/>
                <w:lang w:val="en-US" w:eastAsia="lt-LT"/>
              </w:rPr>
              <w:t>Same comment as to the paragraph 4.1.</w:t>
            </w:r>
          </w:p>
          <w:p w14:paraId="392E89B6" w14:textId="77777777" w:rsidR="00542633" w:rsidRPr="008B1593" w:rsidRDefault="00542633" w:rsidP="00827BED">
            <w:pPr>
              <w:tabs>
                <w:tab w:val="left" w:pos="851"/>
              </w:tabs>
              <w:suppressAutoHyphens/>
              <w:ind w:left="34"/>
              <w:jc w:val="both"/>
              <w:textAlignment w:val="baseline"/>
              <w:rPr>
                <w:sz w:val="20"/>
                <w:szCs w:val="20"/>
                <w:lang w:val="en-US" w:eastAsia="lt-LT"/>
              </w:rPr>
            </w:pPr>
          </w:p>
          <w:p w14:paraId="4965D452" w14:textId="77777777" w:rsidR="00542633" w:rsidRPr="008B1593" w:rsidRDefault="00542633" w:rsidP="00827BED">
            <w:pPr>
              <w:tabs>
                <w:tab w:val="left" w:pos="851"/>
              </w:tabs>
              <w:suppressAutoHyphens/>
              <w:ind w:left="34"/>
              <w:jc w:val="both"/>
              <w:textAlignment w:val="baseline"/>
              <w:rPr>
                <w:sz w:val="20"/>
                <w:szCs w:val="20"/>
                <w:lang w:val="en-US" w:eastAsia="lt-LT"/>
              </w:rPr>
            </w:pPr>
            <w:r w:rsidRPr="008B1593">
              <w:rPr>
                <w:sz w:val="20"/>
                <w:szCs w:val="20"/>
                <w:lang w:val="en-US" w:eastAsia="lt-LT"/>
              </w:rPr>
              <w:t>Since there is a common entry zone there is no need to distinguish that there are a two separate domestic exit points and production points. The same allocation rules should be applied at both domestic exit points and both production entry points. Thus, it could be called common balancing zone domestic exit point and common balancing zone domestic production entry point.</w:t>
            </w:r>
          </w:p>
        </w:tc>
        <w:tc>
          <w:tcPr>
            <w:tcW w:w="6343" w:type="dxa"/>
          </w:tcPr>
          <w:p w14:paraId="628F3962" w14:textId="77777777" w:rsidR="00542633" w:rsidRDefault="00542633" w:rsidP="00827BED">
            <w:pPr>
              <w:tabs>
                <w:tab w:val="left" w:pos="851"/>
              </w:tabs>
              <w:suppressAutoHyphens/>
              <w:ind w:left="34"/>
              <w:jc w:val="both"/>
              <w:textAlignment w:val="baseline"/>
              <w:rPr>
                <w:sz w:val="20"/>
                <w:szCs w:val="20"/>
                <w:lang w:val="en-US" w:eastAsia="lt-LT"/>
              </w:rPr>
            </w:pPr>
            <w:r>
              <w:rPr>
                <w:sz w:val="20"/>
                <w:szCs w:val="20"/>
                <w:lang w:val="en-US" w:eastAsia="lt-LT"/>
              </w:rPr>
              <w:t>In TSOs view there in no procedural discrimination regarding entry into the system where it is applicable. Distinction between entries of Estonian and Latvian production is introduced considering potential differences in states’ support schemes introduced in order to enhance local production of gas for injection into transmission system. In order to eradicate proposed distinction national climate policies and implemented set of instruments of Estonia and Latvia must be harmonized, effectively merging them into one. TSOs would be in favor of it, but it is out of the scope of this document.</w:t>
            </w:r>
          </w:p>
          <w:p w14:paraId="2B995E83" w14:textId="77777777" w:rsidR="00542633" w:rsidRPr="00EF5298" w:rsidRDefault="00542633" w:rsidP="00FF7F7F">
            <w:pPr>
              <w:tabs>
                <w:tab w:val="left" w:pos="851"/>
              </w:tabs>
              <w:suppressAutoHyphens/>
              <w:jc w:val="both"/>
              <w:textAlignment w:val="baseline"/>
              <w:rPr>
                <w:sz w:val="20"/>
                <w:szCs w:val="20"/>
                <w:lang w:val="en-US" w:eastAsia="lt-LT"/>
              </w:rPr>
            </w:pPr>
            <w:r>
              <w:rPr>
                <w:sz w:val="20"/>
                <w:szCs w:val="20"/>
                <w:lang w:val="en-US" w:eastAsia="lt-LT"/>
              </w:rPr>
              <w:t xml:space="preserve">Regarding exits to distribution systems (domestic retail markets) - </w:t>
            </w:r>
            <w:r w:rsidRPr="00EF5298">
              <w:rPr>
                <w:sz w:val="20"/>
                <w:szCs w:val="20"/>
                <w:lang w:val="en-US" w:eastAsia="lt-LT"/>
              </w:rPr>
              <w:t xml:space="preserve"> </w:t>
            </w:r>
            <w:r>
              <w:rPr>
                <w:sz w:val="20"/>
                <w:szCs w:val="20"/>
                <w:lang w:val="en-US" w:eastAsia="lt-LT"/>
              </w:rPr>
              <w:t>i</w:t>
            </w:r>
            <w:r w:rsidRPr="00EF5298">
              <w:rPr>
                <w:sz w:val="20"/>
                <w:szCs w:val="20"/>
                <w:lang w:val="en-US" w:eastAsia="lt-LT"/>
              </w:rPr>
              <w:t xml:space="preserve">t was agreed among all </w:t>
            </w:r>
            <w:r>
              <w:rPr>
                <w:sz w:val="20"/>
                <w:szCs w:val="20"/>
                <w:lang w:val="en-US" w:eastAsia="lt-LT"/>
              </w:rPr>
              <w:t>involved TSOs</w:t>
            </w:r>
            <w:r w:rsidRPr="00EF5298">
              <w:rPr>
                <w:sz w:val="20"/>
                <w:szCs w:val="20"/>
                <w:lang w:val="en-US" w:eastAsia="lt-LT"/>
              </w:rPr>
              <w:t xml:space="preserve"> prepar</w:t>
            </w:r>
            <w:r>
              <w:rPr>
                <w:sz w:val="20"/>
                <w:szCs w:val="20"/>
                <w:lang w:val="en-US" w:eastAsia="lt-LT"/>
              </w:rPr>
              <w:t>ing</w:t>
            </w:r>
            <w:r w:rsidRPr="00EF5298">
              <w:rPr>
                <w:sz w:val="20"/>
                <w:szCs w:val="20"/>
                <w:lang w:val="en-US" w:eastAsia="lt-LT"/>
              </w:rPr>
              <w:t xml:space="preserve"> </w:t>
            </w:r>
            <w:r>
              <w:rPr>
                <w:sz w:val="20"/>
                <w:szCs w:val="20"/>
                <w:lang w:val="en-US" w:eastAsia="lt-LT"/>
              </w:rPr>
              <w:t xml:space="preserve">for wholesale market merger into </w:t>
            </w:r>
            <w:r w:rsidRPr="00EF5298">
              <w:rPr>
                <w:sz w:val="20"/>
                <w:szCs w:val="20"/>
                <w:lang w:val="en-US" w:eastAsia="lt-LT"/>
              </w:rPr>
              <w:t xml:space="preserve">to </w:t>
            </w:r>
            <w:r>
              <w:rPr>
                <w:sz w:val="20"/>
                <w:szCs w:val="20"/>
                <w:lang w:val="en-US" w:eastAsia="lt-LT"/>
              </w:rPr>
              <w:t>the common balancing zone</w:t>
            </w:r>
            <w:r w:rsidRPr="00EF5298">
              <w:rPr>
                <w:sz w:val="20"/>
                <w:szCs w:val="20"/>
                <w:lang w:val="en-US" w:eastAsia="lt-LT"/>
              </w:rPr>
              <w:t xml:space="preserve"> (including Lithuania), that national regulations concerning distribution </w:t>
            </w:r>
            <w:r>
              <w:rPr>
                <w:sz w:val="20"/>
                <w:szCs w:val="20"/>
                <w:lang w:val="en-US" w:eastAsia="lt-LT"/>
              </w:rPr>
              <w:t xml:space="preserve">(retail) </w:t>
            </w:r>
            <w:r w:rsidRPr="00EF5298">
              <w:rPr>
                <w:sz w:val="20"/>
                <w:szCs w:val="20"/>
                <w:lang w:val="en-US" w:eastAsia="lt-LT"/>
              </w:rPr>
              <w:t>would not be harmonized at this stage because of differences in exit tariff calculation, capacity allocation principles and remuneration process.</w:t>
            </w:r>
            <w:r>
              <w:rPr>
                <w:sz w:val="20"/>
                <w:szCs w:val="20"/>
                <w:lang w:val="en-US" w:eastAsia="lt-LT"/>
              </w:rPr>
              <w:t xml:space="preserve"> Therefore TSOs are not in a position to introduce requirements which require transposition of specific provisions into national retail market regulations.</w:t>
            </w:r>
          </w:p>
          <w:p w14:paraId="35CB8F5F" w14:textId="77777777" w:rsidR="00542633" w:rsidRDefault="00542633" w:rsidP="00FF7F7F">
            <w:pPr>
              <w:tabs>
                <w:tab w:val="left" w:pos="851"/>
              </w:tabs>
              <w:suppressAutoHyphens/>
              <w:ind w:left="34"/>
              <w:jc w:val="both"/>
              <w:textAlignment w:val="baseline"/>
              <w:rPr>
                <w:sz w:val="20"/>
                <w:szCs w:val="20"/>
                <w:lang w:val="en-US" w:eastAsia="lt-LT"/>
              </w:rPr>
            </w:pPr>
          </w:p>
          <w:p w14:paraId="5D4809CD" w14:textId="77777777" w:rsidR="00542633" w:rsidRPr="00106316" w:rsidRDefault="00542633" w:rsidP="00D7470B">
            <w:pPr>
              <w:tabs>
                <w:tab w:val="left" w:pos="851"/>
              </w:tabs>
              <w:suppressAutoHyphens/>
              <w:jc w:val="both"/>
              <w:textAlignment w:val="baseline"/>
              <w:rPr>
                <w:strike/>
                <w:sz w:val="20"/>
                <w:szCs w:val="20"/>
                <w:lang w:val="en-GB" w:eastAsia="lt-LT"/>
              </w:rPr>
            </w:pPr>
          </w:p>
        </w:tc>
      </w:tr>
      <w:tr w:rsidR="00542633" w:rsidRPr="008B1593" w14:paraId="47CD0CE9" w14:textId="77777777" w:rsidTr="00795AD6">
        <w:trPr>
          <w:trHeight w:val="659"/>
        </w:trPr>
        <w:tc>
          <w:tcPr>
            <w:tcW w:w="2830" w:type="dxa"/>
          </w:tcPr>
          <w:p w14:paraId="70DB9B92" w14:textId="77777777" w:rsidR="00542633" w:rsidRPr="008B1593" w:rsidRDefault="00542633" w:rsidP="00827BED">
            <w:pPr>
              <w:tabs>
                <w:tab w:val="left" w:pos="851"/>
              </w:tabs>
              <w:suppressAutoHyphens/>
              <w:jc w:val="both"/>
              <w:textAlignment w:val="baseline"/>
              <w:rPr>
                <w:sz w:val="20"/>
                <w:szCs w:val="20"/>
                <w:lang w:val="en-US"/>
              </w:rPr>
            </w:pPr>
            <w:r w:rsidRPr="008B1593">
              <w:rPr>
                <w:sz w:val="20"/>
                <w:szCs w:val="20"/>
                <w:lang w:val="en-US"/>
              </w:rPr>
              <w:t>4.2. At entry/exit point Balticconnector:</w:t>
            </w:r>
          </w:p>
          <w:p w14:paraId="33EC3364" w14:textId="77777777" w:rsidR="00542633" w:rsidRPr="008B1593" w:rsidRDefault="00542633" w:rsidP="00827BED">
            <w:pPr>
              <w:tabs>
                <w:tab w:val="left" w:pos="851"/>
              </w:tabs>
              <w:suppressAutoHyphens/>
              <w:jc w:val="both"/>
              <w:textAlignment w:val="baseline"/>
              <w:rPr>
                <w:sz w:val="20"/>
                <w:szCs w:val="20"/>
                <w:lang w:val="en-US"/>
              </w:rPr>
            </w:pPr>
            <w:r w:rsidRPr="008B1593">
              <w:rPr>
                <w:sz w:val="20"/>
                <w:szCs w:val="20"/>
                <w:lang w:val="en-US"/>
              </w:rPr>
              <w:t>4.2.1. Capacity is allocated:</w:t>
            </w:r>
          </w:p>
          <w:p w14:paraId="077C46D8" w14:textId="77777777" w:rsidR="00542633" w:rsidRPr="008B1593" w:rsidRDefault="00542633" w:rsidP="00827BED">
            <w:pPr>
              <w:tabs>
                <w:tab w:val="left" w:pos="851"/>
              </w:tabs>
              <w:suppressAutoHyphens/>
              <w:jc w:val="both"/>
              <w:textAlignment w:val="baseline"/>
              <w:rPr>
                <w:sz w:val="20"/>
                <w:szCs w:val="20"/>
                <w:lang w:val="en-US"/>
              </w:rPr>
            </w:pPr>
            <w:r w:rsidRPr="008B1593">
              <w:rPr>
                <w:sz w:val="20"/>
                <w:szCs w:val="20"/>
                <w:lang w:val="en-US"/>
              </w:rPr>
              <w:t>4.2.1.1. by implicit capacity allocation rules via trading platform as described under article 4.6.</w:t>
            </w:r>
          </w:p>
          <w:p w14:paraId="45B672D5" w14:textId="77777777" w:rsidR="00542633" w:rsidRPr="008B1593" w:rsidRDefault="00542633" w:rsidP="00827BED">
            <w:pPr>
              <w:tabs>
                <w:tab w:val="left" w:pos="851"/>
              </w:tabs>
              <w:suppressAutoHyphens/>
              <w:jc w:val="both"/>
              <w:textAlignment w:val="baseline"/>
              <w:rPr>
                <w:sz w:val="20"/>
                <w:szCs w:val="20"/>
                <w:lang w:val="en-US" w:eastAsia="lt-LT"/>
              </w:rPr>
            </w:pPr>
            <w:r w:rsidRPr="008B1593">
              <w:rPr>
                <w:sz w:val="20"/>
                <w:szCs w:val="20"/>
                <w:lang w:val="en-US"/>
              </w:rPr>
              <w:t>4.2.1.2. by implicit capacity allocation rules by the TSO as described under article 4.5.</w:t>
            </w:r>
          </w:p>
        </w:tc>
        <w:tc>
          <w:tcPr>
            <w:tcW w:w="6521" w:type="dxa"/>
          </w:tcPr>
          <w:p w14:paraId="03602F39" w14:textId="2EBF504A" w:rsidR="00542633" w:rsidRPr="008B1593" w:rsidRDefault="00B83638" w:rsidP="00827BED">
            <w:pPr>
              <w:tabs>
                <w:tab w:val="left" w:pos="851"/>
              </w:tabs>
              <w:suppressAutoHyphens/>
              <w:ind w:left="34"/>
              <w:jc w:val="both"/>
              <w:textAlignment w:val="baseline"/>
              <w:rPr>
                <w:sz w:val="20"/>
                <w:szCs w:val="20"/>
                <w:lang w:val="en-US" w:eastAsia="lt-LT"/>
              </w:rPr>
            </w:pPr>
            <w:r>
              <w:rPr>
                <w:b/>
                <w:sz w:val="20"/>
                <w:szCs w:val="20"/>
                <w:lang w:val="en-US"/>
              </w:rPr>
              <w:t>Stakeholder 1</w:t>
            </w:r>
            <w:r w:rsidR="00542633">
              <w:rPr>
                <w:b/>
                <w:lang w:val="en-US"/>
              </w:rPr>
              <w:t>:</w:t>
            </w:r>
            <w:r w:rsidR="00542633" w:rsidRPr="008B1593">
              <w:rPr>
                <w:b/>
                <w:sz w:val="20"/>
                <w:szCs w:val="20"/>
                <w:lang w:val="en-US"/>
              </w:rPr>
              <w:t xml:space="preserve"> </w:t>
            </w:r>
            <w:r w:rsidR="00542633" w:rsidRPr="008B1593">
              <w:rPr>
                <w:sz w:val="20"/>
                <w:szCs w:val="20"/>
                <w:lang w:val="en-US" w:eastAsia="lt-LT"/>
              </w:rPr>
              <w:t>Gas Regulation Article 16 (3):</w:t>
            </w:r>
          </w:p>
          <w:p w14:paraId="1C004905" w14:textId="77777777" w:rsidR="00542633" w:rsidRPr="008B1593" w:rsidRDefault="00542633" w:rsidP="00827BED">
            <w:pPr>
              <w:tabs>
                <w:tab w:val="left" w:pos="851"/>
              </w:tabs>
              <w:suppressAutoHyphens/>
              <w:ind w:left="34"/>
              <w:jc w:val="both"/>
              <w:textAlignment w:val="baseline"/>
              <w:rPr>
                <w:sz w:val="20"/>
                <w:szCs w:val="20"/>
                <w:lang w:val="en-US" w:eastAsia="lt-LT"/>
              </w:rPr>
            </w:pPr>
            <w:r w:rsidRPr="008B1593">
              <w:rPr>
                <w:sz w:val="20"/>
                <w:szCs w:val="20"/>
                <w:lang w:val="en-US" w:eastAsia="lt-LT"/>
              </w:rPr>
              <w:t>„</w:t>
            </w:r>
            <w:r w:rsidRPr="008B1593">
              <w:rPr>
                <w:i/>
                <w:sz w:val="20"/>
                <w:szCs w:val="20"/>
                <w:lang w:val="en-US" w:eastAsia="lt-LT"/>
              </w:rPr>
              <w:t>3.The transmission system operator shall implement and publish non-discriminatory and transparent congestion-management procedures which facilitate cross-border exchanges in natural gas on a non-discriminatory basis and which shall be based on the following principles: &lt;...&gt;“</w:t>
            </w:r>
          </w:p>
          <w:p w14:paraId="51FDF7D8" w14:textId="77777777" w:rsidR="00542633" w:rsidRPr="008B1593" w:rsidRDefault="00542633" w:rsidP="00827BED">
            <w:pPr>
              <w:tabs>
                <w:tab w:val="left" w:pos="851"/>
              </w:tabs>
              <w:suppressAutoHyphens/>
              <w:ind w:left="34"/>
              <w:jc w:val="both"/>
              <w:textAlignment w:val="baseline"/>
              <w:rPr>
                <w:sz w:val="20"/>
                <w:szCs w:val="20"/>
                <w:lang w:val="en-US" w:eastAsia="lt-LT"/>
              </w:rPr>
            </w:pPr>
            <w:r w:rsidRPr="008B1593">
              <w:rPr>
                <w:sz w:val="20"/>
                <w:szCs w:val="20"/>
                <w:lang w:val="en-US" w:eastAsia="lt-LT"/>
              </w:rPr>
              <w:t>Gas Regulation Annex I section 2 provides detailed requirements for congestion management procedures (hereinafter – CMP).</w:t>
            </w:r>
          </w:p>
          <w:p w14:paraId="1719E7B2" w14:textId="77777777" w:rsidR="00542633" w:rsidRPr="008B1593" w:rsidRDefault="00542633" w:rsidP="00827BED">
            <w:pPr>
              <w:tabs>
                <w:tab w:val="left" w:pos="851"/>
              </w:tabs>
              <w:suppressAutoHyphens/>
              <w:ind w:left="34"/>
              <w:jc w:val="both"/>
              <w:textAlignment w:val="baseline"/>
              <w:rPr>
                <w:sz w:val="20"/>
                <w:szCs w:val="20"/>
                <w:lang w:val="en-US" w:eastAsia="lt-LT"/>
              </w:rPr>
            </w:pPr>
          </w:p>
          <w:p w14:paraId="57DA636A" w14:textId="77777777" w:rsidR="00542633" w:rsidRPr="008B1593" w:rsidRDefault="00542633" w:rsidP="00827BED">
            <w:pPr>
              <w:suppressAutoHyphens/>
              <w:ind w:left="34"/>
              <w:jc w:val="both"/>
              <w:rPr>
                <w:sz w:val="20"/>
                <w:szCs w:val="20"/>
                <w:lang w:val="en-US" w:eastAsia="lt-LT"/>
              </w:rPr>
            </w:pPr>
            <w:r w:rsidRPr="008B1593">
              <w:rPr>
                <w:sz w:val="20"/>
                <w:szCs w:val="20"/>
                <w:lang w:val="en-US" w:eastAsia="lt-LT"/>
              </w:rPr>
              <w:t>We ask TSOs to amend this document by implementing the CMPs at IPs as defined in the regulation above.</w:t>
            </w:r>
          </w:p>
        </w:tc>
        <w:tc>
          <w:tcPr>
            <w:tcW w:w="6343" w:type="dxa"/>
          </w:tcPr>
          <w:p w14:paraId="7024CBD9" w14:textId="77777777" w:rsidR="00542633" w:rsidRPr="00DE6C5C" w:rsidRDefault="00542633" w:rsidP="00827BED">
            <w:pPr>
              <w:tabs>
                <w:tab w:val="left" w:pos="851"/>
              </w:tabs>
              <w:suppressAutoHyphens/>
              <w:ind w:left="34"/>
              <w:jc w:val="both"/>
              <w:textAlignment w:val="baseline"/>
              <w:rPr>
                <w:sz w:val="20"/>
                <w:szCs w:val="20"/>
                <w:lang w:val="en-US" w:eastAsia="lt-LT"/>
              </w:rPr>
            </w:pPr>
            <w:r w:rsidRPr="00DE6C5C">
              <w:rPr>
                <w:sz w:val="20"/>
                <w:szCs w:val="20"/>
                <w:lang w:val="en-US" w:eastAsia="lt-LT"/>
              </w:rPr>
              <w:t xml:space="preserve">Proposal not taken into account. </w:t>
            </w:r>
          </w:p>
          <w:p w14:paraId="4EAD24B7" w14:textId="77777777" w:rsidR="00542633" w:rsidRPr="00DE6C5C" w:rsidRDefault="00542633" w:rsidP="00A2020B">
            <w:pPr>
              <w:tabs>
                <w:tab w:val="left" w:pos="851"/>
              </w:tabs>
              <w:suppressAutoHyphens/>
              <w:ind w:left="34"/>
              <w:jc w:val="both"/>
              <w:textAlignment w:val="baseline"/>
              <w:rPr>
                <w:sz w:val="20"/>
                <w:szCs w:val="20"/>
                <w:lang w:val="en-US" w:eastAsia="lt-LT"/>
              </w:rPr>
            </w:pPr>
            <w:r w:rsidRPr="00DE6C5C">
              <w:rPr>
                <w:sz w:val="20"/>
                <w:szCs w:val="20"/>
                <w:lang w:val="en-US" w:eastAsia="lt-LT"/>
              </w:rPr>
              <w:t>The capacity allocation rules have built in congestion management – the capacity of interconnection point is allocated at the same time with the quantities of gas traded between market areas on the gas exchange.</w:t>
            </w:r>
          </w:p>
          <w:p w14:paraId="63665513" w14:textId="77777777" w:rsidR="00542633" w:rsidRPr="00EF5298" w:rsidRDefault="00542633" w:rsidP="00D7470B">
            <w:pPr>
              <w:tabs>
                <w:tab w:val="left" w:pos="851"/>
              </w:tabs>
              <w:suppressAutoHyphens/>
              <w:ind w:left="34"/>
              <w:jc w:val="both"/>
              <w:textAlignment w:val="baseline"/>
              <w:rPr>
                <w:sz w:val="20"/>
                <w:szCs w:val="20"/>
                <w:lang w:val="en-US" w:eastAsia="lt-LT"/>
              </w:rPr>
            </w:pPr>
            <w:r w:rsidRPr="00EF5298">
              <w:rPr>
                <w:i/>
                <w:sz w:val="20"/>
                <w:szCs w:val="20"/>
                <w:lang w:val="en-US" w:eastAsia="lt-LT"/>
              </w:rPr>
              <w:t xml:space="preserve"> </w:t>
            </w:r>
          </w:p>
        </w:tc>
      </w:tr>
      <w:tr w:rsidR="00542633" w:rsidRPr="008B1593" w14:paraId="4497B1E6" w14:textId="77777777" w:rsidTr="00795AD6">
        <w:trPr>
          <w:trHeight w:val="659"/>
        </w:trPr>
        <w:tc>
          <w:tcPr>
            <w:tcW w:w="2830" w:type="dxa"/>
          </w:tcPr>
          <w:p w14:paraId="20752103" w14:textId="77777777" w:rsidR="00542633" w:rsidRPr="008B1593" w:rsidRDefault="00542633" w:rsidP="00827BED">
            <w:pPr>
              <w:tabs>
                <w:tab w:val="left" w:pos="851"/>
              </w:tabs>
              <w:suppressAutoHyphens/>
              <w:jc w:val="both"/>
              <w:textAlignment w:val="baseline"/>
              <w:rPr>
                <w:sz w:val="20"/>
                <w:szCs w:val="20"/>
                <w:lang w:val="en-US" w:eastAsia="lt-LT"/>
              </w:rPr>
            </w:pPr>
            <w:r w:rsidRPr="008B1593">
              <w:rPr>
                <w:sz w:val="20"/>
                <w:szCs w:val="20"/>
                <w:lang w:val="en-US" w:eastAsia="lt-LT"/>
              </w:rPr>
              <w:t>&lt;...&gt;</w:t>
            </w:r>
          </w:p>
        </w:tc>
        <w:tc>
          <w:tcPr>
            <w:tcW w:w="6521" w:type="dxa"/>
          </w:tcPr>
          <w:p w14:paraId="488025D0" w14:textId="1E961ADC" w:rsidR="00542633" w:rsidRPr="008B1593" w:rsidRDefault="00B83638" w:rsidP="00827BED">
            <w:pPr>
              <w:suppressAutoHyphens/>
              <w:ind w:left="34"/>
              <w:jc w:val="both"/>
              <w:rPr>
                <w:sz w:val="20"/>
                <w:szCs w:val="20"/>
                <w:lang w:val="en-US" w:eastAsia="lt-LT"/>
              </w:rPr>
            </w:pPr>
            <w:r>
              <w:rPr>
                <w:b/>
                <w:sz w:val="20"/>
                <w:szCs w:val="20"/>
                <w:lang w:val="en-US"/>
              </w:rPr>
              <w:t>Stakeholder 1</w:t>
            </w:r>
            <w:r w:rsidR="00542633">
              <w:rPr>
                <w:b/>
                <w:lang w:val="en-US"/>
              </w:rPr>
              <w:t>:</w:t>
            </w:r>
            <w:r w:rsidR="00542633" w:rsidRPr="008B1593">
              <w:rPr>
                <w:b/>
                <w:sz w:val="20"/>
                <w:szCs w:val="20"/>
                <w:lang w:val="en-US"/>
              </w:rPr>
              <w:t xml:space="preserve"> </w:t>
            </w:r>
            <w:r w:rsidR="00542633" w:rsidRPr="008B1593">
              <w:rPr>
                <w:sz w:val="20"/>
                <w:szCs w:val="20"/>
                <w:lang w:val="en-US" w:eastAsia="lt-LT"/>
              </w:rPr>
              <w:t>Gas Regulation Article 14 stipulates that:</w:t>
            </w:r>
          </w:p>
          <w:p w14:paraId="77377F77" w14:textId="77777777" w:rsidR="00542633" w:rsidRPr="008B1593" w:rsidRDefault="00542633" w:rsidP="00827BED">
            <w:pPr>
              <w:suppressAutoHyphens/>
              <w:ind w:left="34"/>
              <w:jc w:val="both"/>
              <w:rPr>
                <w:i/>
                <w:sz w:val="20"/>
                <w:szCs w:val="20"/>
                <w:lang w:val="en-US" w:eastAsia="lt-LT"/>
              </w:rPr>
            </w:pPr>
            <w:r w:rsidRPr="008B1593">
              <w:rPr>
                <w:sz w:val="20"/>
                <w:szCs w:val="20"/>
                <w:lang w:val="en-US" w:eastAsia="lt-LT"/>
              </w:rPr>
              <w:t>„</w:t>
            </w:r>
            <w:r w:rsidRPr="008B1593">
              <w:rPr>
                <w:i/>
                <w:sz w:val="20"/>
                <w:szCs w:val="20"/>
                <w:lang w:val="en-US" w:eastAsia="lt-LT"/>
              </w:rPr>
              <w:t>1. Transmission system operators shall:</w:t>
            </w:r>
          </w:p>
          <w:p w14:paraId="2721EF71" w14:textId="77777777" w:rsidR="00542633" w:rsidRPr="008B1593" w:rsidRDefault="00542633" w:rsidP="00827BED">
            <w:pPr>
              <w:suppressAutoHyphens/>
              <w:ind w:left="34"/>
              <w:jc w:val="both"/>
              <w:rPr>
                <w:i/>
                <w:sz w:val="20"/>
                <w:szCs w:val="20"/>
                <w:lang w:val="en-US" w:eastAsia="lt-LT"/>
              </w:rPr>
            </w:pPr>
            <w:r w:rsidRPr="008B1593">
              <w:rPr>
                <w:i/>
                <w:sz w:val="20"/>
                <w:szCs w:val="20"/>
                <w:lang w:val="en-US" w:eastAsia="lt-LT"/>
              </w:rPr>
              <w:t>(a) ensure that they offer services on a non-discriminatory basis to all network users;</w:t>
            </w:r>
          </w:p>
          <w:p w14:paraId="5BEB9B97" w14:textId="77777777" w:rsidR="00542633" w:rsidRPr="008B1593" w:rsidRDefault="00542633" w:rsidP="00827BED">
            <w:pPr>
              <w:suppressAutoHyphens/>
              <w:ind w:left="34"/>
              <w:jc w:val="both"/>
              <w:rPr>
                <w:i/>
                <w:sz w:val="20"/>
                <w:szCs w:val="20"/>
                <w:lang w:val="en-US" w:eastAsia="lt-LT"/>
              </w:rPr>
            </w:pPr>
            <w:r w:rsidRPr="008B1593">
              <w:rPr>
                <w:i/>
                <w:sz w:val="20"/>
                <w:szCs w:val="20"/>
                <w:lang w:val="en-US" w:eastAsia="lt-LT"/>
              </w:rPr>
              <w:t>(b) provide both firm and interruptible third-party access services. The price of interruptible capacity shall reflect the probability of interruption;</w:t>
            </w:r>
          </w:p>
          <w:p w14:paraId="78BCCC04" w14:textId="77777777" w:rsidR="00542633" w:rsidRPr="008B1593" w:rsidRDefault="00542633" w:rsidP="00827BED">
            <w:pPr>
              <w:suppressAutoHyphens/>
              <w:ind w:left="34"/>
              <w:jc w:val="both"/>
              <w:rPr>
                <w:i/>
                <w:sz w:val="20"/>
                <w:szCs w:val="20"/>
                <w:lang w:val="en-US" w:eastAsia="lt-LT"/>
              </w:rPr>
            </w:pPr>
            <w:r w:rsidRPr="008B1593">
              <w:rPr>
                <w:i/>
                <w:sz w:val="20"/>
                <w:szCs w:val="20"/>
                <w:lang w:val="en-US" w:eastAsia="lt-LT"/>
              </w:rPr>
              <w:t xml:space="preserve">(c) </w:t>
            </w:r>
            <w:r w:rsidRPr="008B1593">
              <w:rPr>
                <w:b/>
                <w:i/>
                <w:sz w:val="20"/>
                <w:szCs w:val="20"/>
                <w:lang w:val="en-US" w:eastAsia="lt-LT"/>
              </w:rPr>
              <w:t>offer to network users both long and short-term services</w:t>
            </w:r>
            <w:r w:rsidRPr="008B1593">
              <w:rPr>
                <w:i/>
                <w:sz w:val="20"/>
                <w:szCs w:val="20"/>
                <w:lang w:val="en-US" w:eastAsia="lt-LT"/>
              </w:rPr>
              <w:t>.“</w:t>
            </w:r>
          </w:p>
          <w:p w14:paraId="7DEB9F53" w14:textId="77777777" w:rsidR="00542633" w:rsidRPr="008B1593" w:rsidRDefault="00542633" w:rsidP="00827BED">
            <w:pPr>
              <w:suppressAutoHyphens/>
              <w:jc w:val="both"/>
              <w:rPr>
                <w:sz w:val="20"/>
                <w:szCs w:val="20"/>
                <w:lang w:val="en-US" w:eastAsia="lt-LT"/>
              </w:rPr>
            </w:pPr>
          </w:p>
          <w:p w14:paraId="534C2651" w14:textId="77777777" w:rsidR="00542633" w:rsidRPr="008B1593" w:rsidRDefault="00542633" w:rsidP="00827BED">
            <w:pPr>
              <w:suppressAutoHyphens/>
              <w:ind w:left="34"/>
              <w:jc w:val="both"/>
              <w:rPr>
                <w:sz w:val="20"/>
                <w:szCs w:val="20"/>
                <w:lang w:val="en-US" w:eastAsia="lt-LT"/>
              </w:rPr>
            </w:pPr>
            <w:r w:rsidRPr="008B1593">
              <w:rPr>
                <w:sz w:val="20"/>
                <w:szCs w:val="20"/>
                <w:lang w:val="en-US" w:eastAsia="lt-LT"/>
              </w:rPr>
              <w:t>We highlight that current capacity allocation rules set in this document are not in line with a Gas Regulation since, TSOs are not planning to provide long term services related with a capacity booking at IP. We ask to amend the Rules respectively.</w:t>
            </w:r>
          </w:p>
        </w:tc>
        <w:tc>
          <w:tcPr>
            <w:tcW w:w="6343" w:type="dxa"/>
          </w:tcPr>
          <w:p w14:paraId="2B66D24F" w14:textId="3A2F18E5" w:rsidR="00542633" w:rsidRDefault="00542633" w:rsidP="00D7470B">
            <w:pPr>
              <w:suppressAutoHyphens/>
              <w:ind w:left="34"/>
              <w:jc w:val="both"/>
              <w:rPr>
                <w:sz w:val="20"/>
                <w:szCs w:val="20"/>
              </w:rPr>
            </w:pPr>
            <w:r>
              <w:rPr>
                <w:sz w:val="20"/>
                <w:szCs w:val="20"/>
              </w:rPr>
              <w:t>Proposal currently not taken into account.</w:t>
            </w:r>
          </w:p>
          <w:p w14:paraId="229EF538" w14:textId="77777777" w:rsidR="00542633" w:rsidRDefault="00542633" w:rsidP="00D7470B">
            <w:pPr>
              <w:suppressAutoHyphens/>
              <w:ind w:left="34"/>
              <w:jc w:val="both"/>
              <w:rPr>
                <w:sz w:val="20"/>
                <w:szCs w:val="20"/>
              </w:rPr>
            </w:pPr>
            <w:r>
              <w:rPr>
                <w:sz w:val="20"/>
                <w:szCs w:val="20"/>
              </w:rPr>
              <w:t xml:space="preserve">Balticconnector will be removed as an entry-exit point, when Finland joins the common balancing zone (planned 2022 at the earliest). Until then implicit capacity allocation is proposed to be applied by TSOs. </w:t>
            </w:r>
          </w:p>
          <w:p w14:paraId="47323AFD" w14:textId="77777777" w:rsidR="00542633" w:rsidRPr="00EF5298" w:rsidRDefault="00542633" w:rsidP="00827BED">
            <w:pPr>
              <w:suppressAutoHyphens/>
              <w:ind w:left="34"/>
              <w:jc w:val="both"/>
              <w:rPr>
                <w:sz w:val="20"/>
                <w:szCs w:val="20"/>
                <w:lang w:val="en-US" w:eastAsia="lt-LT"/>
              </w:rPr>
            </w:pPr>
          </w:p>
        </w:tc>
      </w:tr>
      <w:tr w:rsidR="00542633" w:rsidRPr="008B1593" w14:paraId="6C41E0EF" w14:textId="77777777" w:rsidTr="00795AD6">
        <w:trPr>
          <w:trHeight w:val="659"/>
        </w:trPr>
        <w:tc>
          <w:tcPr>
            <w:tcW w:w="2830" w:type="dxa"/>
          </w:tcPr>
          <w:p w14:paraId="0A90A43E" w14:textId="77777777" w:rsidR="00542633" w:rsidRPr="008B1593" w:rsidRDefault="00542633" w:rsidP="00827BED">
            <w:pPr>
              <w:tabs>
                <w:tab w:val="left" w:pos="851"/>
              </w:tabs>
              <w:suppressAutoHyphens/>
              <w:jc w:val="both"/>
              <w:textAlignment w:val="baseline"/>
              <w:rPr>
                <w:sz w:val="20"/>
                <w:szCs w:val="20"/>
                <w:lang w:val="en-US" w:eastAsia="lt-LT"/>
              </w:rPr>
            </w:pPr>
            <w:r w:rsidRPr="008B1593">
              <w:rPr>
                <w:sz w:val="20"/>
                <w:szCs w:val="20"/>
                <w:lang w:val="en-US" w:eastAsia="lt-LT"/>
              </w:rPr>
              <w:lastRenderedPageBreak/>
              <w:t>&lt;...&gt;</w:t>
            </w:r>
          </w:p>
        </w:tc>
        <w:tc>
          <w:tcPr>
            <w:tcW w:w="6521" w:type="dxa"/>
          </w:tcPr>
          <w:p w14:paraId="69F99046" w14:textId="01FB6BDD" w:rsidR="00542633" w:rsidRPr="008B1593" w:rsidRDefault="00B83638" w:rsidP="00827BED">
            <w:pPr>
              <w:tabs>
                <w:tab w:val="left" w:pos="851"/>
              </w:tabs>
              <w:suppressAutoHyphens/>
              <w:ind w:left="34"/>
              <w:jc w:val="both"/>
              <w:textAlignment w:val="baseline"/>
              <w:rPr>
                <w:sz w:val="20"/>
                <w:szCs w:val="20"/>
                <w:lang w:val="en-US" w:eastAsia="lt-LT"/>
              </w:rPr>
            </w:pPr>
            <w:r>
              <w:rPr>
                <w:b/>
                <w:sz w:val="20"/>
                <w:szCs w:val="20"/>
                <w:lang w:val="en-US"/>
              </w:rPr>
              <w:t>Stakeholder 1</w:t>
            </w:r>
            <w:r w:rsidR="00542633">
              <w:rPr>
                <w:b/>
                <w:lang w:val="en-US"/>
              </w:rPr>
              <w:t>:</w:t>
            </w:r>
            <w:r w:rsidR="00542633" w:rsidRPr="008B1593">
              <w:rPr>
                <w:b/>
                <w:sz w:val="20"/>
                <w:szCs w:val="20"/>
                <w:lang w:val="en-US"/>
              </w:rPr>
              <w:t xml:space="preserve"> </w:t>
            </w:r>
            <w:r w:rsidR="00542633" w:rsidRPr="008B1593">
              <w:rPr>
                <w:sz w:val="20"/>
                <w:szCs w:val="20"/>
                <w:lang w:val="en-US" w:eastAsia="lt-LT"/>
              </w:rPr>
              <w:t>It is not clear if ICA technically can be applied for longer than day-ahead and with-in day basis, because it is potentially technically not possible to allocate the respective quantity together with capacity.</w:t>
            </w:r>
          </w:p>
        </w:tc>
        <w:tc>
          <w:tcPr>
            <w:tcW w:w="6343" w:type="dxa"/>
          </w:tcPr>
          <w:p w14:paraId="2620BEA6" w14:textId="77777777" w:rsidR="00542633" w:rsidRPr="00EF5298" w:rsidRDefault="00542633" w:rsidP="00A2020B">
            <w:pPr>
              <w:tabs>
                <w:tab w:val="left" w:pos="851"/>
              </w:tabs>
              <w:suppressAutoHyphens/>
              <w:ind w:left="34"/>
              <w:jc w:val="both"/>
              <w:textAlignment w:val="baseline"/>
              <w:rPr>
                <w:sz w:val="20"/>
                <w:szCs w:val="20"/>
                <w:lang w:val="en-US" w:eastAsia="lt-LT"/>
              </w:rPr>
            </w:pPr>
            <w:r>
              <w:rPr>
                <w:sz w:val="20"/>
                <w:szCs w:val="20"/>
                <w:lang w:val="en-US" w:eastAsia="lt-LT"/>
              </w:rPr>
              <w:t>I</w:t>
            </w:r>
            <w:r w:rsidRPr="00B71F55">
              <w:rPr>
                <w:sz w:val="20"/>
                <w:szCs w:val="20"/>
                <w:lang w:val="en-US" w:eastAsia="lt-LT"/>
              </w:rPr>
              <w:t>n order to avoid stranded IT development costs TSOs will consult with the market and if market will request introduction of longer than DA capacity product to be available for ICA, TSOs in coordination with gas exchange(s) will introduce them.</w:t>
            </w:r>
          </w:p>
        </w:tc>
      </w:tr>
      <w:tr w:rsidR="00542633" w:rsidRPr="008B1593" w14:paraId="05781387" w14:textId="77777777" w:rsidTr="00795AD6">
        <w:trPr>
          <w:trHeight w:val="659"/>
        </w:trPr>
        <w:tc>
          <w:tcPr>
            <w:tcW w:w="2830" w:type="dxa"/>
          </w:tcPr>
          <w:p w14:paraId="365F2736" w14:textId="77777777" w:rsidR="00542633" w:rsidRPr="008B1593" w:rsidRDefault="00542633" w:rsidP="00827BED">
            <w:pPr>
              <w:tabs>
                <w:tab w:val="left" w:pos="851"/>
                <w:tab w:val="center" w:pos="2443"/>
              </w:tabs>
              <w:suppressAutoHyphens/>
              <w:jc w:val="both"/>
              <w:textAlignment w:val="baseline"/>
              <w:rPr>
                <w:sz w:val="20"/>
                <w:szCs w:val="20"/>
                <w:lang w:val="en-US" w:eastAsia="lt-LT"/>
              </w:rPr>
            </w:pPr>
            <w:r w:rsidRPr="008B1593">
              <w:rPr>
                <w:sz w:val="20"/>
                <w:szCs w:val="20"/>
                <w:lang w:val="en-US" w:eastAsia="lt-LT"/>
              </w:rPr>
              <w:t>&lt;...&gt;</w:t>
            </w:r>
          </w:p>
        </w:tc>
        <w:tc>
          <w:tcPr>
            <w:tcW w:w="6521" w:type="dxa"/>
          </w:tcPr>
          <w:p w14:paraId="7B701C27" w14:textId="46D995EE" w:rsidR="00542633" w:rsidRPr="008B1593" w:rsidRDefault="00B83638" w:rsidP="00827BED">
            <w:pPr>
              <w:tabs>
                <w:tab w:val="left" w:pos="851"/>
              </w:tabs>
              <w:suppressAutoHyphens/>
              <w:ind w:left="34"/>
              <w:jc w:val="both"/>
              <w:textAlignment w:val="baseline"/>
              <w:rPr>
                <w:sz w:val="20"/>
                <w:szCs w:val="20"/>
                <w:lang w:val="en-US" w:eastAsia="lt-LT"/>
              </w:rPr>
            </w:pPr>
            <w:r>
              <w:rPr>
                <w:b/>
                <w:sz w:val="20"/>
                <w:szCs w:val="20"/>
                <w:lang w:val="en-US"/>
              </w:rPr>
              <w:t>Stakeholder 1</w:t>
            </w:r>
            <w:r w:rsidR="00542633">
              <w:rPr>
                <w:b/>
                <w:lang w:val="en-US"/>
              </w:rPr>
              <w:t>:</w:t>
            </w:r>
            <w:r w:rsidR="00542633" w:rsidRPr="008B1593">
              <w:rPr>
                <w:b/>
                <w:sz w:val="20"/>
                <w:szCs w:val="20"/>
                <w:lang w:val="en-US"/>
              </w:rPr>
              <w:t xml:space="preserve"> </w:t>
            </w:r>
            <w:r w:rsidR="00542633" w:rsidRPr="008B1593">
              <w:rPr>
                <w:sz w:val="20"/>
                <w:szCs w:val="20"/>
                <w:lang w:val="en-US" w:eastAsia="lt-LT"/>
              </w:rPr>
              <w:t>Regarding CAM NC Art. 2 (1) and Art. 2 (5) capacity auctions on the capacity booking platform or ICA shall be applied at IP. Thus, all products which are not provided on ICA basis shall be provided on the capacity booking platform auction basis at IP. We ask to amend respective paragraph.</w:t>
            </w:r>
          </w:p>
        </w:tc>
        <w:tc>
          <w:tcPr>
            <w:tcW w:w="6343" w:type="dxa"/>
          </w:tcPr>
          <w:p w14:paraId="16F506B2" w14:textId="77777777" w:rsidR="00542633" w:rsidRPr="00EF5298" w:rsidRDefault="00542633" w:rsidP="00AA4523">
            <w:pPr>
              <w:tabs>
                <w:tab w:val="left" w:pos="851"/>
              </w:tabs>
              <w:suppressAutoHyphens/>
              <w:ind w:left="34"/>
              <w:jc w:val="both"/>
              <w:textAlignment w:val="baseline"/>
              <w:rPr>
                <w:sz w:val="20"/>
                <w:szCs w:val="20"/>
              </w:rPr>
            </w:pPr>
            <w:r>
              <w:rPr>
                <w:sz w:val="20"/>
                <w:szCs w:val="20"/>
              </w:rPr>
              <w:t>Proposal n</w:t>
            </w:r>
            <w:r w:rsidRPr="00EF5298">
              <w:rPr>
                <w:sz w:val="20"/>
                <w:szCs w:val="20"/>
              </w:rPr>
              <w:t xml:space="preserve">ot taken into account. </w:t>
            </w:r>
          </w:p>
          <w:p w14:paraId="510E9E53" w14:textId="77777777" w:rsidR="00542633" w:rsidRPr="00EF5298" w:rsidRDefault="00542633" w:rsidP="00AA4523">
            <w:pPr>
              <w:tabs>
                <w:tab w:val="left" w:pos="851"/>
              </w:tabs>
              <w:suppressAutoHyphens/>
              <w:ind w:left="34"/>
              <w:jc w:val="both"/>
              <w:textAlignment w:val="baseline"/>
              <w:rPr>
                <w:sz w:val="20"/>
                <w:szCs w:val="20"/>
                <w:lang w:val="en-US" w:eastAsia="lt-LT"/>
              </w:rPr>
            </w:pPr>
            <w:r w:rsidRPr="00EF5298">
              <w:rPr>
                <w:sz w:val="20"/>
                <w:szCs w:val="20"/>
              </w:rPr>
              <w:t>CAM NC</w:t>
            </w:r>
            <w:r>
              <w:rPr>
                <w:sz w:val="20"/>
                <w:szCs w:val="20"/>
              </w:rPr>
              <w:t xml:space="preserve"> Article 2(5) states “</w:t>
            </w:r>
            <w:r w:rsidRPr="00EF5298">
              <w:rPr>
                <w:sz w:val="20"/>
                <w:szCs w:val="20"/>
              </w:rPr>
              <w:t>Where implicit capacity allocation methods are applied, national regulatory authorities may decide not to apply Articles 8 to 37.”, which means that articles requiring auctioning are not applicable if decided so by national regulatory authorities.</w:t>
            </w:r>
          </w:p>
        </w:tc>
      </w:tr>
      <w:tr w:rsidR="00542633" w:rsidRPr="008B1593" w14:paraId="577EAD3D" w14:textId="77777777" w:rsidTr="00795AD6">
        <w:trPr>
          <w:trHeight w:val="659"/>
        </w:trPr>
        <w:tc>
          <w:tcPr>
            <w:tcW w:w="2830" w:type="dxa"/>
          </w:tcPr>
          <w:p w14:paraId="6A91CE19" w14:textId="77777777" w:rsidR="00542633" w:rsidRPr="008B1593" w:rsidRDefault="00542633" w:rsidP="00827BED">
            <w:pPr>
              <w:tabs>
                <w:tab w:val="left" w:pos="851"/>
                <w:tab w:val="center" w:pos="2443"/>
              </w:tabs>
              <w:suppressAutoHyphens/>
              <w:jc w:val="both"/>
              <w:textAlignment w:val="baseline"/>
              <w:rPr>
                <w:sz w:val="20"/>
                <w:szCs w:val="20"/>
                <w:lang w:val="en-US" w:eastAsia="lt-LT"/>
              </w:rPr>
            </w:pPr>
            <w:r w:rsidRPr="008B1593">
              <w:rPr>
                <w:sz w:val="20"/>
                <w:szCs w:val="20"/>
                <w:lang w:val="en-US" w:eastAsia="lt-LT"/>
              </w:rPr>
              <w:t>4.4. At entry/exit point GMS Kiemenai (Lithuania-Latvia)</w:t>
            </w:r>
          </w:p>
          <w:p w14:paraId="769C8DCA" w14:textId="77777777" w:rsidR="00542633" w:rsidRPr="008B1593" w:rsidRDefault="00542633" w:rsidP="00827BE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bdr w:val="none" w:sz="0" w:space="0" w:color="auto"/>
                <w:lang w:val="en-US" w:eastAsia="lt-LT"/>
              </w:rPr>
            </w:pPr>
            <w:r w:rsidRPr="008B1593">
              <w:rPr>
                <w:sz w:val="20"/>
                <w:szCs w:val="20"/>
                <w:lang w:val="en-US" w:eastAsia="lt-LT"/>
              </w:rPr>
              <w:t>4.4.1. Capacity is allocated: &lt;...&gt;</w:t>
            </w:r>
          </w:p>
        </w:tc>
        <w:tc>
          <w:tcPr>
            <w:tcW w:w="6521" w:type="dxa"/>
          </w:tcPr>
          <w:p w14:paraId="6EF8701F" w14:textId="203B14B9" w:rsidR="00542633" w:rsidRPr="008B1593" w:rsidRDefault="00B83638" w:rsidP="00827BED">
            <w:pPr>
              <w:tabs>
                <w:tab w:val="left" w:pos="851"/>
              </w:tabs>
              <w:suppressAutoHyphens/>
              <w:ind w:left="34"/>
              <w:jc w:val="both"/>
              <w:textAlignment w:val="baseline"/>
              <w:rPr>
                <w:sz w:val="20"/>
                <w:szCs w:val="20"/>
                <w:lang w:val="en-US" w:eastAsia="lt-LT"/>
              </w:rPr>
            </w:pPr>
            <w:r>
              <w:rPr>
                <w:b/>
                <w:sz w:val="20"/>
                <w:szCs w:val="20"/>
                <w:lang w:val="en-US"/>
              </w:rPr>
              <w:t>Stakeholder 1</w:t>
            </w:r>
            <w:r w:rsidR="00542633">
              <w:rPr>
                <w:b/>
                <w:lang w:val="en-US"/>
              </w:rPr>
              <w:t>:</w:t>
            </w:r>
            <w:r w:rsidR="00542633" w:rsidRPr="008B1593">
              <w:rPr>
                <w:b/>
                <w:sz w:val="20"/>
                <w:szCs w:val="20"/>
                <w:lang w:val="en-US"/>
              </w:rPr>
              <w:t xml:space="preserve"> </w:t>
            </w:r>
            <w:r w:rsidR="00542633" w:rsidRPr="008B1593">
              <w:rPr>
                <w:sz w:val="20"/>
                <w:szCs w:val="20"/>
                <w:lang w:val="en-US" w:eastAsia="lt-LT"/>
              </w:rPr>
              <w:t>Same comments as above to the 4.2</w:t>
            </w:r>
          </w:p>
        </w:tc>
        <w:tc>
          <w:tcPr>
            <w:tcW w:w="6343" w:type="dxa"/>
          </w:tcPr>
          <w:p w14:paraId="4BF24B46" w14:textId="77777777" w:rsidR="00542633" w:rsidRPr="00EF5298" w:rsidRDefault="00542633" w:rsidP="00827BED">
            <w:pPr>
              <w:tabs>
                <w:tab w:val="left" w:pos="851"/>
              </w:tabs>
              <w:suppressAutoHyphens/>
              <w:ind w:left="34"/>
              <w:jc w:val="both"/>
              <w:textAlignment w:val="baseline"/>
              <w:rPr>
                <w:sz w:val="20"/>
                <w:szCs w:val="20"/>
              </w:rPr>
            </w:pPr>
            <w:r>
              <w:rPr>
                <w:sz w:val="20"/>
                <w:szCs w:val="20"/>
              </w:rPr>
              <w:t>Proposal n</w:t>
            </w:r>
            <w:r w:rsidRPr="00EF5298">
              <w:rPr>
                <w:sz w:val="20"/>
                <w:szCs w:val="20"/>
              </w:rPr>
              <w:t xml:space="preserve">ot taken into account. </w:t>
            </w:r>
          </w:p>
          <w:p w14:paraId="293E9991" w14:textId="77777777" w:rsidR="00542633" w:rsidRPr="00EF5298" w:rsidRDefault="00542633" w:rsidP="00827BED">
            <w:pPr>
              <w:tabs>
                <w:tab w:val="left" w:pos="851"/>
              </w:tabs>
              <w:suppressAutoHyphens/>
              <w:ind w:left="34"/>
              <w:jc w:val="both"/>
              <w:textAlignment w:val="baseline"/>
              <w:rPr>
                <w:sz w:val="20"/>
                <w:szCs w:val="20"/>
                <w:lang w:val="en-US" w:eastAsia="lt-LT"/>
              </w:rPr>
            </w:pPr>
            <w:r w:rsidRPr="00EF5298">
              <w:rPr>
                <w:sz w:val="20"/>
                <w:szCs w:val="20"/>
              </w:rPr>
              <w:t>CAM NC</w:t>
            </w:r>
            <w:r>
              <w:rPr>
                <w:sz w:val="20"/>
                <w:szCs w:val="20"/>
              </w:rPr>
              <w:t xml:space="preserve"> Article 2(5) states “</w:t>
            </w:r>
            <w:r w:rsidRPr="00EF5298">
              <w:rPr>
                <w:sz w:val="20"/>
                <w:szCs w:val="20"/>
              </w:rPr>
              <w:t>Where implicit capacity allocation methods are applied, national regulatory authorities may decide not to apply Articles 8 to 37.”, which means that articles requiring auctioning are not applicable if decided so by national regulatory authorities.</w:t>
            </w:r>
          </w:p>
        </w:tc>
      </w:tr>
      <w:tr w:rsidR="00542633" w:rsidRPr="008B1593" w14:paraId="28ED56ED" w14:textId="77777777" w:rsidTr="00795AD6">
        <w:trPr>
          <w:trHeight w:val="659"/>
        </w:trPr>
        <w:tc>
          <w:tcPr>
            <w:tcW w:w="2830" w:type="dxa"/>
          </w:tcPr>
          <w:p w14:paraId="31C8DBDF" w14:textId="77777777" w:rsidR="00542633" w:rsidRPr="008B1593" w:rsidRDefault="00542633" w:rsidP="00827BE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sz w:val="20"/>
                <w:szCs w:val="20"/>
                <w:bdr w:val="none" w:sz="0" w:space="0" w:color="auto"/>
                <w:lang w:val="en-US" w:eastAsia="lt-LT"/>
              </w:rPr>
            </w:pPr>
            <w:r w:rsidRPr="008B1593">
              <w:rPr>
                <w:rFonts w:eastAsia="Times New Roman"/>
                <w:sz w:val="20"/>
                <w:szCs w:val="20"/>
                <w:bdr w:val="none" w:sz="0" w:space="0" w:color="auto"/>
                <w:lang w:val="en-US" w:eastAsia="lt-LT"/>
              </w:rPr>
              <w:t>&lt;...&gt;</w:t>
            </w:r>
          </w:p>
          <w:p w14:paraId="01A7C445" w14:textId="77777777" w:rsidR="00542633" w:rsidRPr="008B1593" w:rsidRDefault="00542633" w:rsidP="00827BED">
            <w:pPr>
              <w:tabs>
                <w:tab w:val="left" w:pos="851"/>
              </w:tabs>
              <w:suppressAutoHyphens/>
              <w:jc w:val="both"/>
              <w:textAlignment w:val="baseline"/>
              <w:rPr>
                <w:sz w:val="20"/>
                <w:szCs w:val="20"/>
                <w:lang w:val="en-US" w:eastAsia="lt-LT"/>
              </w:rPr>
            </w:pPr>
            <w:r w:rsidRPr="008B1593">
              <w:rPr>
                <w:rFonts w:eastAsia="Times New Roman"/>
                <w:sz w:val="20"/>
                <w:szCs w:val="20"/>
                <w:bdr w:val="none" w:sz="0" w:space="0" w:color="auto"/>
                <w:lang w:val="en-US" w:eastAsia="lt-LT"/>
              </w:rPr>
              <w:t>4.4.1.2. by FCFS rules under article 4.7.</w:t>
            </w:r>
          </w:p>
        </w:tc>
        <w:tc>
          <w:tcPr>
            <w:tcW w:w="6521" w:type="dxa"/>
          </w:tcPr>
          <w:p w14:paraId="1C213EC5" w14:textId="51AE939D" w:rsidR="00542633" w:rsidRPr="008B1593" w:rsidRDefault="00B83638" w:rsidP="00827BED">
            <w:pPr>
              <w:tabs>
                <w:tab w:val="left" w:pos="851"/>
              </w:tabs>
              <w:suppressAutoHyphens/>
              <w:ind w:left="34"/>
              <w:jc w:val="both"/>
              <w:textAlignment w:val="baseline"/>
              <w:rPr>
                <w:sz w:val="20"/>
                <w:szCs w:val="20"/>
                <w:lang w:val="en-US" w:eastAsia="lt-LT"/>
              </w:rPr>
            </w:pPr>
            <w:r>
              <w:rPr>
                <w:b/>
                <w:sz w:val="20"/>
                <w:szCs w:val="20"/>
                <w:lang w:val="en-US"/>
              </w:rPr>
              <w:t>Stakeholder 1</w:t>
            </w:r>
            <w:r w:rsidR="00542633">
              <w:rPr>
                <w:b/>
                <w:lang w:val="en-US"/>
              </w:rPr>
              <w:t>:</w:t>
            </w:r>
            <w:r w:rsidR="00542633" w:rsidRPr="008B1593">
              <w:rPr>
                <w:b/>
                <w:sz w:val="20"/>
                <w:szCs w:val="20"/>
                <w:lang w:val="en-US"/>
              </w:rPr>
              <w:t xml:space="preserve"> </w:t>
            </w:r>
            <w:r w:rsidR="00542633" w:rsidRPr="008B1593">
              <w:rPr>
                <w:sz w:val="20"/>
                <w:szCs w:val="20"/>
                <w:lang w:val="en-US" w:eastAsia="lt-LT"/>
              </w:rPr>
              <w:t xml:space="preserve">Regarding CAM NC Art. 2 (1) and Art. 2 (5) FCFS cannot be applied </w:t>
            </w:r>
            <w:r w:rsidR="00542633" w:rsidRPr="008B1593">
              <w:rPr>
                <w:b/>
                <w:sz w:val="20"/>
                <w:szCs w:val="20"/>
                <w:lang w:val="en-US" w:eastAsia="lt-LT"/>
              </w:rPr>
              <w:t>at IP</w:t>
            </w:r>
            <w:r w:rsidR="00542633" w:rsidRPr="008B1593">
              <w:rPr>
                <w:sz w:val="20"/>
                <w:szCs w:val="20"/>
                <w:lang w:val="en-US" w:eastAsia="lt-LT"/>
              </w:rPr>
              <w:t>. Capacity auctions on the capacity booking platform or ICA shall be applied. Thus, all products which are not provided on ICA basis shall be provided on the capacity booking platform auction basis. We ask to amend respective paragraph.</w:t>
            </w:r>
          </w:p>
          <w:p w14:paraId="4271CBC8" w14:textId="77777777" w:rsidR="00542633" w:rsidRPr="008B1593" w:rsidRDefault="00542633" w:rsidP="00827BED">
            <w:pPr>
              <w:tabs>
                <w:tab w:val="left" w:pos="851"/>
              </w:tabs>
              <w:suppressAutoHyphens/>
              <w:ind w:left="34"/>
              <w:jc w:val="both"/>
              <w:textAlignment w:val="baseline"/>
              <w:rPr>
                <w:sz w:val="20"/>
                <w:szCs w:val="20"/>
                <w:lang w:val="en-US" w:eastAsia="lt-LT"/>
              </w:rPr>
            </w:pPr>
          </w:p>
          <w:p w14:paraId="22A39030" w14:textId="77777777" w:rsidR="00542633" w:rsidRPr="008B1593" w:rsidRDefault="00542633" w:rsidP="00827BED">
            <w:pPr>
              <w:tabs>
                <w:tab w:val="left" w:pos="851"/>
              </w:tabs>
              <w:suppressAutoHyphens/>
              <w:jc w:val="both"/>
              <w:textAlignment w:val="baseline"/>
              <w:rPr>
                <w:sz w:val="20"/>
                <w:szCs w:val="20"/>
                <w:lang w:val="en-US" w:eastAsia="lt-LT"/>
              </w:rPr>
            </w:pPr>
            <w:r w:rsidRPr="008B1593">
              <w:rPr>
                <w:sz w:val="20"/>
                <w:szCs w:val="20"/>
                <w:lang w:val="en-US" w:eastAsia="lt-LT"/>
              </w:rPr>
              <w:t>We will inform AB „Amber Grid“ and initiate changing our national rules as well regarding this issue as well.</w:t>
            </w:r>
          </w:p>
          <w:p w14:paraId="77DF3908" w14:textId="77777777" w:rsidR="00542633" w:rsidRPr="008B1593" w:rsidRDefault="00542633" w:rsidP="00827BED">
            <w:pPr>
              <w:tabs>
                <w:tab w:val="left" w:pos="851"/>
              </w:tabs>
              <w:suppressAutoHyphens/>
              <w:ind w:left="34"/>
              <w:jc w:val="both"/>
              <w:textAlignment w:val="baseline"/>
              <w:rPr>
                <w:sz w:val="20"/>
                <w:szCs w:val="20"/>
                <w:lang w:val="en-US" w:eastAsia="lt-LT"/>
              </w:rPr>
            </w:pPr>
          </w:p>
        </w:tc>
        <w:tc>
          <w:tcPr>
            <w:tcW w:w="6343" w:type="dxa"/>
          </w:tcPr>
          <w:p w14:paraId="499BDF91" w14:textId="77777777" w:rsidR="00542633" w:rsidRPr="00EF5298" w:rsidRDefault="00542633" w:rsidP="00827BED">
            <w:pPr>
              <w:tabs>
                <w:tab w:val="left" w:pos="851"/>
              </w:tabs>
              <w:suppressAutoHyphens/>
              <w:ind w:left="34"/>
              <w:jc w:val="both"/>
              <w:textAlignment w:val="baseline"/>
              <w:rPr>
                <w:sz w:val="20"/>
                <w:szCs w:val="20"/>
              </w:rPr>
            </w:pPr>
            <w:r>
              <w:rPr>
                <w:sz w:val="20"/>
                <w:szCs w:val="20"/>
              </w:rPr>
              <w:t>Proposal n</w:t>
            </w:r>
            <w:r w:rsidRPr="00EF5298">
              <w:rPr>
                <w:sz w:val="20"/>
                <w:szCs w:val="20"/>
              </w:rPr>
              <w:t xml:space="preserve">ot taken into account. </w:t>
            </w:r>
          </w:p>
          <w:p w14:paraId="7BDC9AA9" w14:textId="77777777" w:rsidR="00542633" w:rsidRPr="00EF5298" w:rsidRDefault="00542633" w:rsidP="00827BED">
            <w:pPr>
              <w:tabs>
                <w:tab w:val="left" w:pos="851"/>
              </w:tabs>
              <w:suppressAutoHyphens/>
              <w:ind w:left="34"/>
              <w:jc w:val="both"/>
              <w:textAlignment w:val="baseline"/>
              <w:rPr>
                <w:sz w:val="20"/>
                <w:szCs w:val="20"/>
                <w:lang w:val="en-US" w:eastAsia="lt-LT"/>
              </w:rPr>
            </w:pPr>
            <w:r w:rsidRPr="00EF5298">
              <w:rPr>
                <w:sz w:val="20"/>
                <w:szCs w:val="20"/>
              </w:rPr>
              <w:t>CAM NC</w:t>
            </w:r>
            <w:r>
              <w:rPr>
                <w:sz w:val="20"/>
                <w:szCs w:val="20"/>
              </w:rPr>
              <w:t xml:space="preserve"> Article 2(5) states “</w:t>
            </w:r>
            <w:r w:rsidRPr="00EF5298">
              <w:rPr>
                <w:sz w:val="20"/>
                <w:szCs w:val="20"/>
              </w:rPr>
              <w:t>Where implicit capacity allocation methods are applied, national regulatory authorities may decide not to apply Articles 8 to 37.”, which means that articles requiring auctioning are not applicable if decided so by national regulatory authorities.</w:t>
            </w:r>
          </w:p>
        </w:tc>
      </w:tr>
      <w:tr w:rsidR="00542633" w:rsidRPr="008B1593" w14:paraId="1BBF21F4" w14:textId="77777777" w:rsidTr="00795AD6">
        <w:trPr>
          <w:trHeight w:val="659"/>
        </w:trPr>
        <w:tc>
          <w:tcPr>
            <w:tcW w:w="2830" w:type="dxa"/>
          </w:tcPr>
          <w:p w14:paraId="342C79B2" w14:textId="77777777" w:rsidR="00542633" w:rsidRPr="008B1593" w:rsidRDefault="00542633" w:rsidP="00827BED">
            <w:pPr>
              <w:tabs>
                <w:tab w:val="left" w:pos="851"/>
                <w:tab w:val="center" w:pos="2443"/>
              </w:tabs>
              <w:suppressAutoHyphens/>
              <w:jc w:val="both"/>
              <w:textAlignment w:val="baseline"/>
              <w:rPr>
                <w:sz w:val="20"/>
                <w:szCs w:val="20"/>
                <w:lang w:val="en-US" w:eastAsia="lt-LT"/>
              </w:rPr>
            </w:pPr>
            <w:r w:rsidRPr="008B1593">
              <w:rPr>
                <w:sz w:val="20"/>
                <w:szCs w:val="20"/>
                <w:lang w:val="en-US" w:eastAsia="lt-LT"/>
              </w:rPr>
              <w:t>4.4.2. Congestion management rules under article 4.8 apply.</w:t>
            </w:r>
          </w:p>
        </w:tc>
        <w:tc>
          <w:tcPr>
            <w:tcW w:w="6521" w:type="dxa"/>
          </w:tcPr>
          <w:p w14:paraId="294572F7" w14:textId="12FAE2FC" w:rsidR="00542633" w:rsidRPr="008B1593" w:rsidRDefault="00B83638" w:rsidP="00827BED">
            <w:pPr>
              <w:suppressAutoHyphens/>
              <w:ind w:left="34"/>
              <w:jc w:val="both"/>
              <w:rPr>
                <w:sz w:val="20"/>
                <w:szCs w:val="20"/>
                <w:lang w:val="en-US" w:eastAsia="lt-LT"/>
              </w:rPr>
            </w:pPr>
            <w:r>
              <w:rPr>
                <w:b/>
                <w:sz w:val="20"/>
                <w:szCs w:val="20"/>
                <w:lang w:val="en-US"/>
              </w:rPr>
              <w:t>Stakeholder 1</w:t>
            </w:r>
            <w:r w:rsidR="00542633">
              <w:rPr>
                <w:b/>
                <w:lang w:val="en-US"/>
              </w:rPr>
              <w:t>:</w:t>
            </w:r>
            <w:r w:rsidR="00542633" w:rsidRPr="008B1593">
              <w:rPr>
                <w:b/>
                <w:sz w:val="20"/>
                <w:szCs w:val="20"/>
                <w:lang w:val="en-US"/>
              </w:rPr>
              <w:t xml:space="preserve"> </w:t>
            </w:r>
            <w:r w:rsidR="00542633" w:rsidRPr="008B1593">
              <w:rPr>
                <w:sz w:val="20"/>
                <w:szCs w:val="20"/>
                <w:lang w:val="en-US" w:eastAsia="lt-LT"/>
              </w:rPr>
              <w:t>Same comments as above to the paragraph 4.2.</w:t>
            </w:r>
          </w:p>
        </w:tc>
        <w:tc>
          <w:tcPr>
            <w:tcW w:w="6343" w:type="dxa"/>
          </w:tcPr>
          <w:p w14:paraId="68582447" w14:textId="77777777" w:rsidR="00542633" w:rsidRDefault="00542633" w:rsidP="00017C8B">
            <w:pPr>
              <w:suppressAutoHyphens/>
              <w:ind w:left="34"/>
              <w:jc w:val="both"/>
              <w:rPr>
                <w:sz w:val="20"/>
                <w:szCs w:val="20"/>
                <w:lang w:val="en-US" w:eastAsia="lt-LT"/>
              </w:rPr>
            </w:pPr>
            <w:r w:rsidRPr="00161A7E">
              <w:rPr>
                <w:sz w:val="20"/>
                <w:szCs w:val="20"/>
                <w:lang w:val="en-US" w:eastAsia="lt-LT"/>
              </w:rPr>
              <w:t xml:space="preserve">Proposal taken into account. </w:t>
            </w:r>
          </w:p>
          <w:p w14:paraId="18749AA0" w14:textId="77777777" w:rsidR="00542633" w:rsidRPr="00017C8B" w:rsidRDefault="00542633" w:rsidP="00017C8B">
            <w:pPr>
              <w:suppressAutoHyphens/>
              <w:ind w:left="34"/>
              <w:jc w:val="both"/>
              <w:rPr>
                <w:color w:val="FFFFFF" w:themeColor="background1"/>
                <w:sz w:val="20"/>
                <w:szCs w:val="20"/>
                <w:highlight w:val="red"/>
                <w:lang w:eastAsia="lt-LT"/>
              </w:rPr>
            </w:pPr>
            <w:r w:rsidRPr="00161A7E">
              <w:rPr>
                <w:sz w:val="20"/>
                <w:szCs w:val="20"/>
                <w:lang w:val="en-US" w:eastAsia="lt-LT"/>
              </w:rPr>
              <w:t>The list of congestion management principles will be updated.</w:t>
            </w:r>
          </w:p>
        </w:tc>
      </w:tr>
      <w:tr w:rsidR="00542633" w:rsidRPr="008B1593" w14:paraId="5E46CA0C" w14:textId="77777777" w:rsidTr="00795AD6">
        <w:trPr>
          <w:trHeight w:val="659"/>
        </w:trPr>
        <w:tc>
          <w:tcPr>
            <w:tcW w:w="2830" w:type="dxa"/>
          </w:tcPr>
          <w:p w14:paraId="0E863C19" w14:textId="77777777" w:rsidR="00542633" w:rsidRPr="008B1593" w:rsidRDefault="00542633" w:rsidP="00827BED">
            <w:pPr>
              <w:tabs>
                <w:tab w:val="left" w:pos="851"/>
                <w:tab w:val="center" w:pos="2443"/>
              </w:tabs>
              <w:suppressAutoHyphens/>
              <w:jc w:val="both"/>
              <w:textAlignment w:val="baseline"/>
              <w:rPr>
                <w:sz w:val="20"/>
                <w:szCs w:val="20"/>
                <w:lang w:val="en-US" w:eastAsia="lt-LT"/>
              </w:rPr>
            </w:pPr>
            <w:r w:rsidRPr="008B1593">
              <w:rPr>
                <w:sz w:val="20"/>
                <w:szCs w:val="20"/>
                <w:lang w:val="en-US" w:eastAsia="lt-LT"/>
              </w:rPr>
              <w:t>4.5.1.1. Confirmed Nominations which has gone through the TSO’s local processing of Nominations and the Matching Process as described in section 4 of this document.</w:t>
            </w:r>
          </w:p>
        </w:tc>
        <w:tc>
          <w:tcPr>
            <w:tcW w:w="6521" w:type="dxa"/>
          </w:tcPr>
          <w:p w14:paraId="4EBC563C" w14:textId="3921767F" w:rsidR="00542633" w:rsidRPr="008B1593" w:rsidRDefault="00B83638" w:rsidP="00827BED">
            <w:pPr>
              <w:suppressAutoHyphens/>
              <w:ind w:left="34"/>
              <w:jc w:val="both"/>
              <w:rPr>
                <w:sz w:val="20"/>
                <w:szCs w:val="20"/>
                <w:lang w:val="en-US" w:eastAsia="lt-LT"/>
              </w:rPr>
            </w:pPr>
            <w:r>
              <w:rPr>
                <w:b/>
                <w:sz w:val="20"/>
                <w:szCs w:val="20"/>
                <w:lang w:val="en-US"/>
              </w:rPr>
              <w:t>Stakeholder 1</w:t>
            </w:r>
            <w:r w:rsidR="00542633">
              <w:rPr>
                <w:b/>
                <w:lang w:val="en-US"/>
              </w:rPr>
              <w:t>:</w:t>
            </w:r>
            <w:r w:rsidR="00542633" w:rsidRPr="008B1593">
              <w:rPr>
                <w:b/>
                <w:sz w:val="20"/>
                <w:szCs w:val="20"/>
                <w:lang w:val="en-US"/>
              </w:rPr>
              <w:t xml:space="preserve"> </w:t>
            </w:r>
            <w:r w:rsidR="00542633" w:rsidRPr="008B1593">
              <w:rPr>
                <w:sz w:val="20"/>
                <w:szCs w:val="20"/>
                <w:lang w:val="en-US" w:eastAsia="lt-LT"/>
              </w:rPr>
              <w:t>Regarding Gas Regulation Art. 2:</w:t>
            </w:r>
          </w:p>
          <w:p w14:paraId="2A451CC1" w14:textId="77777777" w:rsidR="00542633" w:rsidRPr="008B1593" w:rsidRDefault="00542633" w:rsidP="00827BED">
            <w:pPr>
              <w:suppressAutoHyphens/>
              <w:ind w:left="34"/>
              <w:jc w:val="both"/>
              <w:rPr>
                <w:sz w:val="20"/>
                <w:szCs w:val="20"/>
                <w:lang w:val="en-US" w:eastAsia="lt-LT"/>
              </w:rPr>
            </w:pPr>
            <w:r w:rsidRPr="008B1593">
              <w:rPr>
                <w:sz w:val="20"/>
                <w:szCs w:val="20"/>
                <w:lang w:val="en-US" w:eastAsia="lt-LT"/>
              </w:rPr>
              <w:t>“</w:t>
            </w:r>
            <w:r w:rsidRPr="008B1593">
              <w:rPr>
                <w:i/>
                <w:sz w:val="20"/>
                <w:szCs w:val="20"/>
                <w:lang w:val="en-US" w:eastAsia="lt-LT"/>
              </w:rPr>
              <w:t>7) ‘nomination’ means the prior reporting by the network user to the transmission system operator of the actual flow that the network user wishes to inject into or withdraw from the system;”</w:t>
            </w:r>
          </w:p>
          <w:p w14:paraId="386CF39A" w14:textId="77777777" w:rsidR="00542633" w:rsidRPr="008B1593" w:rsidRDefault="00542633" w:rsidP="00827BED">
            <w:pPr>
              <w:suppressAutoHyphens/>
              <w:ind w:left="34"/>
              <w:jc w:val="both"/>
              <w:rPr>
                <w:sz w:val="20"/>
                <w:szCs w:val="20"/>
                <w:lang w:val="en-US" w:eastAsia="lt-LT"/>
              </w:rPr>
            </w:pPr>
            <w:r w:rsidRPr="008B1593">
              <w:rPr>
                <w:sz w:val="20"/>
                <w:szCs w:val="20"/>
                <w:lang w:val="en-US" w:eastAsia="lt-LT"/>
              </w:rPr>
              <w:t>Regarding BAL NC Art. 3:</w:t>
            </w:r>
          </w:p>
          <w:p w14:paraId="46CA2C78" w14:textId="77777777" w:rsidR="00542633" w:rsidRPr="008B1593" w:rsidRDefault="00542633" w:rsidP="00827BED">
            <w:pPr>
              <w:suppressAutoHyphens/>
              <w:ind w:left="34"/>
              <w:jc w:val="both"/>
              <w:rPr>
                <w:i/>
                <w:sz w:val="20"/>
                <w:szCs w:val="20"/>
                <w:lang w:val="en-US" w:eastAsia="lt-LT"/>
              </w:rPr>
            </w:pPr>
            <w:r w:rsidRPr="008B1593">
              <w:rPr>
                <w:sz w:val="20"/>
                <w:szCs w:val="20"/>
                <w:lang w:val="en-US" w:eastAsia="lt-LT"/>
              </w:rPr>
              <w:t>“</w:t>
            </w:r>
            <w:r w:rsidRPr="008B1593">
              <w:rPr>
                <w:i/>
                <w:sz w:val="20"/>
                <w:szCs w:val="20"/>
                <w:lang w:val="en-US" w:eastAsia="lt-LT"/>
              </w:rPr>
              <w:t>8) ‘confirmed quantity’ means the quantity of gas confirmed by a transmission system operator to be scheduled or re-scheduled to flow on gas day D;</w:t>
            </w:r>
          </w:p>
          <w:p w14:paraId="5518C30C" w14:textId="77777777" w:rsidR="00542633" w:rsidRPr="008B1593" w:rsidRDefault="00542633" w:rsidP="00827BED">
            <w:pPr>
              <w:suppressAutoHyphens/>
              <w:ind w:left="34"/>
              <w:jc w:val="both"/>
              <w:rPr>
                <w:i/>
                <w:sz w:val="20"/>
                <w:szCs w:val="20"/>
                <w:lang w:val="en-US" w:eastAsia="lt-LT"/>
              </w:rPr>
            </w:pPr>
            <w:r w:rsidRPr="008B1593">
              <w:rPr>
                <w:i/>
                <w:sz w:val="20"/>
                <w:szCs w:val="20"/>
                <w:lang w:val="en-US" w:eastAsia="lt-LT"/>
              </w:rPr>
              <w:t>&lt;…&gt;</w:t>
            </w:r>
          </w:p>
          <w:p w14:paraId="31FF79D4" w14:textId="77777777" w:rsidR="00542633" w:rsidRPr="008B1593" w:rsidRDefault="00542633" w:rsidP="00827BED">
            <w:pPr>
              <w:suppressAutoHyphens/>
              <w:ind w:left="34"/>
              <w:jc w:val="both"/>
              <w:rPr>
                <w:i/>
                <w:sz w:val="20"/>
                <w:szCs w:val="20"/>
                <w:lang w:val="en-US" w:eastAsia="lt-LT"/>
              </w:rPr>
            </w:pPr>
            <w:r w:rsidRPr="008B1593">
              <w:rPr>
                <w:i/>
                <w:sz w:val="20"/>
                <w:szCs w:val="20"/>
                <w:lang w:val="en-US" w:eastAsia="lt-LT"/>
              </w:rPr>
              <w:t>15) ‘allocation’ means the quantity of gas attributed to a network user by a transmission system operator as an input or an off-take expressed in kWh for the purpose of determining the daily imbalance quantity;”</w:t>
            </w:r>
          </w:p>
          <w:p w14:paraId="30F18505" w14:textId="77777777" w:rsidR="00542633" w:rsidRPr="008B1593" w:rsidRDefault="00542633" w:rsidP="00827BED">
            <w:pPr>
              <w:suppressAutoHyphens/>
              <w:ind w:left="34"/>
              <w:jc w:val="both"/>
              <w:rPr>
                <w:sz w:val="20"/>
                <w:szCs w:val="20"/>
                <w:lang w:val="en-US" w:eastAsia="lt-LT"/>
              </w:rPr>
            </w:pPr>
          </w:p>
          <w:p w14:paraId="3C88E3D6" w14:textId="77777777" w:rsidR="00542633" w:rsidRPr="008B1593" w:rsidRDefault="00542633" w:rsidP="00827BED">
            <w:pPr>
              <w:suppressAutoHyphens/>
              <w:ind w:left="34"/>
              <w:jc w:val="both"/>
              <w:rPr>
                <w:sz w:val="20"/>
                <w:szCs w:val="20"/>
                <w:lang w:val="en-US" w:eastAsia="lt-LT"/>
              </w:rPr>
            </w:pPr>
            <w:r w:rsidRPr="008B1593">
              <w:rPr>
                <w:sz w:val="20"/>
                <w:szCs w:val="20"/>
                <w:lang w:val="en-US" w:eastAsia="lt-LT"/>
              </w:rPr>
              <w:t>Please provide clearer wording regarding this principle because this provision is inaccurate. Also, section 4 does not provide nomination rules, but section 6.</w:t>
            </w:r>
          </w:p>
        </w:tc>
        <w:tc>
          <w:tcPr>
            <w:tcW w:w="6343" w:type="dxa"/>
          </w:tcPr>
          <w:p w14:paraId="6A996C78" w14:textId="77777777" w:rsidR="00542633" w:rsidRPr="00EF5298" w:rsidRDefault="00542633" w:rsidP="00827BED">
            <w:pPr>
              <w:suppressAutoHyphens/>
              <w:ind w:left="34"/>
              <w:jc w:val="both"/>
              <w:rPr>
                <w:sz w:val="20"/>
                <w:szCs w:val="20"/>
                <w:lang w:val="en-US" w:eastAsia="lt-LT"/>
              </w:rPr>
            </w:pPr>
            <w:r>
              <w:rPr>
                <w:sz w:val="20"/>
                <w:szCs w:val="20"/>
                <w:lang w:val="en-US" w:eastAsia="lt-LT"/>
              </w:rPr>
              <w:t>Proposal</w:t>
            </w:r>
            <w:r w:rsidRPr="00EF5298">
              <w:rPr>
                <w:sz w:val="20"/>
                <w:szCs w:val="20"/>
                <w:lang w:val="en-US" w:eastAsia="lt-LT"/>
              </w:rPr>
              <w:t xml:space="preserve"> taken into account.</w:t>
            </w:r>
          </w:p>
          <w:p w14:paraId="1AE32EBB" w14:textId="77777777" w:rsidR="00542633" w:rsidRPr="00EF5298" w:rsidRDefault="00542633" w:rsidP="00827BED">
            <w:pPr>
              <w:suppressAutoHyphens/>
              <w:ind w:left="34"/>
              <w:jc w:val="both"/>
              <w:rPr>
                <w:sz w:val="20"/>
                <w:szCs w:val="20"/>
                <w:lang w:val="en-US" w:eastAsia="lt-LT"/>
              </w:rPr>
            </w:pPr>
          </w:p>
          <w:p w14:paraId="18848E6F" w14:textId="77777777" w:rsidR="00542633" w:rsidRPr="00EF5298" w:rsidRDefault="00542633" w:rsidP="00827BED">
            <w:pPr>
              <w:suppressAutoHyphens/>
              <w:ind w:left="34"/>
              <w:jc w:val="both"/>
              <w:rPr>
                <w:sz w:val="20"/>
                <w:szCs w:val="20"/>
                <w:lang w:val="en-US" w:eastAsia="lt-LT"/>
              </w:rPr>
            </w:pPr>
          </w:p>
        </w:tc>
      </w:tr>
      <w:tr w:rsidR="00542633" w:rsidRPr="008B1593" w14:paraId="24085E30" w14:textId="77777777" w:rsidTr="00795AD6">
        <w:trPr>
          <w:trHeight w:val="659"/>
        </w:trPr>
        <w:tc>
          <w:tcPr>
            <w:tcW w:w="2830" w:type="dxa"/>
          </w:tcPr>
          <w:p w14:paraId="5CC22498" w14:textId="77777777" w:rsidR="00542633" w:rsidRPr="008B1593" w:rsidRDefault="00542633" w:rsidP="00827BED">
            <w:pPr>
              <w:tabs>
                <w:tab w:val="left" w:pos="851"/>
                <w:tab w:val="center" w:pos="2443"/>
              </w:tabs>
              <w:suppressAutoHyphens/>
              <w:jc w:val="both"/>
              <w:textAlignment w:val="baseline"/>
              <w:rPr>
                <w:sz w:val="20"/>
                <w:szCs w:val="20"/>
                <w:lang w:val="en-US" w:eastAsia="lt-LT"/>
              </w:rPr>
            </w:pPr>
            <w:r w:rsidRPr="008B1593">
              <w:rPr>
                <w:sz w:val="20"/>
                <w:szCs w:val="20"/>
                <w:lang w:val="en-US" w:eastAsia="lt-LT"/>
              </w:rPr>
              <w:t>4.6. Implicit capacity allocation booking rules via trading  platform</w:t>
            </w:r>
          </w:p>
        </w:tc>
        <w:tc>
          <w:tcPr>
            <w:tcW w:w="6521" w:type="dxa"/>
          </w:tcPr>
          <w:p w14:paraId="1F02CD30" w14:textId="4AEF8739" w:rsidR="00542633" w:rsidRPr="008B1593" w:rsidRDefault="00B83638" w:rsidP="00827BED">
            <w:pPr>
              <w:pStyle w:val="CommentText"/>
              <w:jc w:val="both"/>
              <w:rPr>
                <w:lang w:val="en-US"/>
              </w:rPr>
            </w:pPr>
            <w:r>
              <w:rPr>
                <w:b/>
                <w:lang w:val="en-US"/>
              </w:rPr>
              <w:t>Stakeholder 1</w:t>
            </w:r>
            <w:r w:rsidR="00542633">
              <w:rPr>
                <w:b/>
                <w:lang w:val="en-US"/>
              </w:rPr>
              <w:t>:</w:t>
            </w:r>
            <w:r w:rsidR="00542633" w:rsidRPr="008B1593">
              <w:rPr>
                <w:b/>
                <w:lang w:val="en-US"/>
              </w:rPr>
              <w:t xml:space="preserve"> </w:t>
            </w:r>
            <w:r w:rsidR="00542633" w:rsidRPr="008B1593">
              <w:rPr>
                <w:lang w:val="en-US"/>
              </w:rPr>
              <w:t>We suggest harmonizing ICA rules and wording with Amber Grid rules since later rules are described in more detailed and comprehensible manner.</w:t>
            </w:r>
          </w:p>
        </w:tc>
        <w:tc>
          <w:tcPr>
            <w:tcW w:w="6343" w:type="dxa"/>
          </w:tcPr>
          <w:p w14:paraId="4986687A" w14:textId="77777777" w:rsidR="00542633" w:rsidRPr="00EF5298" w:rsidRDefault="00542633" w:rsidP="00827BED">
            <w:pPr>
              <w:pStyle w:val="CommentText"/>
              <w:jc w:val="both"/>
              <w:rPr>
                <w:lang w:val="en-US"/>
              </w:rPr>
            </w:pPr>
            <w:r w:rsidRPr="00EF5298">
              <w:rPr>
                <w:lang w:val="en-US"/>
              </w:rPr>
              <w:t>Comment taken into account.</w:t>
            </w:r>
          </w:p>
        </w:tc>
      </w:tr>
      <w:tr w:rsidR="00542633" w:rsidRPr="008B1593" w14:paraId="70069BB7" w14:textId="77777777" w:rsidTr="00795AD6">
        <w:trPr>
          <w:trHeight w:val="659"/>
        </w:trPr>
        <w:tc>
          <w:tcPr>
            <w:tcW w:w="2830" w:type="dxa"/>
          </w:tcPr>
          <w:p w14:paraId="70120DC2" w14:textId="77777777" w:rsidR="00542633" w:rsidRPr="008B1593" w:rsidRDefault="00542633" w:rsidP="00827BED">
            <w:pPr>
              <w:tabs>
                <w:tab w:val="left" w:pos="851"/>
                <w:tab w:val="center" w:pos="2443"/>
              </w:tabs>
              <w:suppressAutoHyphens/>
              <w:jc w:val="both"/>
              <w:textAlignment w:val="baseline"/>
              <w:rPr>
                <w:sz w:val="20"/>
                <w:szCs w:val="20"/>
                <w:lang w:val="en-US" w:eastAsia="lt-LT"/>
              </w:rPr>
            </w:pPr>
            <w:r w:rsidRPr="008B1593">
              <w:rPr>
                <w:sz w:val="20"/>
                <w:szCs w:val="20"/>
                <w:lang w:val="en-US" w:eastAsia="lt-LT"/>
              </w:rPr>
              <w:lastRenderedPageBreak/>
              <w:t>4.6.2. The following information shall be published on TSO’s respective website:</w:t>
            </w:r>
          </w:p>
          <w:p w14:paraId="7FA6BFC3" w14:textId="77777777" w:rsidR="00542633" w:rsidRPr="008B1593" w:rsidRDefault="00542633" w:rsidP="00827BED">
            <w:pPr>
              <w:tabs>
                <w:tab w:val="left" w:pos="851"/>
                <w:tab w:val="center" w:pos="2443"/>
              </w:tabs>
              <w:suppressAutoHyphens/>
              <w:jc w:val="both"/>
              <w:textAlignment w:val="baseline"/>
              <w:rPr>
                <w:sz w:val="20"/>
                <w:szCs w:val="20"/>
                <w:lang w:val="en-US" w:eastAsia="lt-LT"/>
              </w:rPr>
            </w:pPr>
            <w:r w:rsidRPr="008B1593">
              <w:rPr>
                <w:sz w:val="20"/>
                <w:szCs w:val="20"/>
                <w:lang w:val="en-US" w:eastAsia="lt-LT"/>
              </w:rPr>
              <w:t>4.6.1. The amount of capacity (%) given for a gas exchange.</w:t>
            </w:r>
          </w:p>
          <w:p w14:paraId="3B179872" w14:textId="77777777" w:rsidR="00542633" w:rsidRPr="008B1593" w:rsidRDefault="00542633" w:rsidP="00827BED">
            <w:pPr>
              <w:tabs>
                <w:tab w:val="left" w:pos="851"/>
                <w:tab w:val="center" w:pos="2443"/>
              </w:tabs>
              <w:suppressAutoHyphens/>
              <w:jc w:val="both"/>
              <w:textAlignment w:val="baseline"/>
              <w:rPr>
                <w:sz w:val="20"/>
                <w:szCs w:val="20"/>
                <w:lang w:val="en-US" w:eastAsia="lt-LT"/>
              </w:rPr>
            </w:pPr>
            <w:r w:rsidRPr="008B1593">
              <w:rPr>
                <w:sz w:val="20"/>
                <w:szCs w:val="20"/>
                <w:lang w:val="en-US" w:eastAsia="lt-LT"/>
              </w:rPr>
              <w:t>&lt;...&gt;</w:t>
            </w:r>
          </w:p>
          <w:p w14:paraId="134029F4" w14:textId="77777777" w:rsidR="00542633" w:rsidRPr="008B1593" w:rsidRDefault="00542633" w:rsidP="00827BED">
            <w:pPr>
              <w:tabs>
                <w:tab w:val="left" w:pos="851"/>
                <w:tab w:val="center" w:pos="2443"/>
              </w:tabs>
              <w:suppressAutoHyphens/>
              <w:jc w:val="both"/>
              <w:textAlignment w:val="baseline"/>
              <w:rPr>
                <w:sz w:val="20"/>
                <w:szCs w:val="20"/>
                <w:lang w:val="en-US" w:eastAsia="lt-LT"/>
              </w:rPr>
            </w:pPr>
            <w:r w:rsidRPr="008B1593">
              <w:rPr>
                <w:sz w:val="20"/>
                <w:szCs w:val="20"/>
                <w:lang w:val="en-US" w:eastAsia="lt-LT"/>
              </w:rPr>
              <w:t>4.6.4. Amount of capacity given to each respective gas exchange is agreed between TSO and gas exchange operator and any change in the amount of capacity given is communicated via TSO respective website at least three days prior to the change.</w:t>
            </w:r>
          </w:p>
        </w:tc>
        <w:tc>
          <w:tcPr>
            <w:tcW w:w="6521" w:type="dxa"/>
          </w:tcPr>
          <w:p w14:paraId="1F9635A2" w14:textId="0707A22E" w:rsidR="00542633" w:rsidRPr="008B1593" w:rsidRDefault="00B83638" w:rsidP="00827BED">
            <w:pPr>
              <w:suppressAutoHyphens/>
              <w:ind w:left="34"/>
              <w:jc w:val="both"/>
              <w:rPr>
                <w:sz w:val="20"/>
                <w:szCs w:val="20"/>
                <w:lang w:val="en-US" w:eastAsia="lt-LT"/>
              </w:rPr>
            </w:pPr>
            <w:r>
              <w:rPr>
                <w:b/>
                <w:sz w:val="20"/>
                <w:szCs w:val="20"/>
                <w:lang w:val="en-US"/>
              </w:rPr>
              <w:t>Stakeholder 1</w:t>
            </w:r>
            <w:r w:rsidR="00542633">
              <w:rPr>
                <w:b/>
                <w:lang w:val="en-US"/>
              </w:rPr>
              <w:t>:</w:t>
            </w:r>
            <w:r w:rsidR="00542633" w:rsidRPr="008B1593">
              <w:rPr>
                <w:b/>
                <w:sz w:val="20"/>
                <w:szCs w:val="20"/>
                <w:lang w:val="en-US"/>
              </w:rPr>
              <w:t xml:space="preserve"> </w:t>
            </w:r>
            <w:r w:rsidR="00542633" w:rsidRPr="008B1593">
              <w:rPr>
                <w:sz w:val="20"/>
                <w:szCs w:val="20"/>
                <w:lang w:val="en-US" w:eastAsia="lt-LT"/>
              </w:rPr>
              <w:t>Regarding CAM NC Art. 9 the set aside percentage must be approved by the NRA, thus the percentage share cannot be unilaterally changed by the TSO or trading platform.</w:t>
            </w:r>
          </w:p>
          <w:p w14:paraId="60943FF9" w14:textId="77777777" w:rsidR="00542633" w:rsidRPr="008B1593" w:rsidRDefault="00542633" w:rsidP="00827BED">
            <w:pPr>
              <w:suppressAutoHyphens/>
              <w:ind w:left="34"/>
              <w:jc w:val="both"/>
              <w:rPr>
                <w:sz w:val="20"/>
                <w:szCs w:val="20"/>
                <w:lang w:val="en-US" w:eastAsia="lt-LT"/>
              </w:rPr>
            </w:pPr>
            <w:r w:rsidRPr="008B1593">
              <w:rPr>
                <w:sz w:val="20"/>
                <w:szCs w:val="20"/>
                <w:lang w:val="en-US" w:eastAsia="lt-LT"/>
              </w:rPr>
              <w:t>General rule how much technical capacity is set aside for ICA should be established. Then, TSOs shall use dynamic method to calculate what is the available capacity for the market participants at a particular Gas day or hour. Only then, TSO can choose how to differentiate which capacity could be utilized through one trading platform and what through the other.</w:t>
            </w:r>
          </w:p>
          <w:p w14:paraId="32670F2C" w14:textId="77777777" w:rsidR="00542633" w:rsidRPr="008B1593" w:rsidRDefault="00542633" w:rsidP="00827BED">
            <w:pPr>
              <w:suppressAutoHyphens/>
              <w:ind w:left="34"/>
              <w:jc w:val="both"/>
              <w:rPr>
                <w:sz w:val="20"/>
                <w:szCs w:val="20"/>
                <w:lang w:val="en-US" w:eastAsia="lt-LT"/>
              </w:rPr>
            </w:pPr>
          </w:p>
          <w:p w14:paraId="36BDCB0D" w14:textId="77777777" w:rsidR="00542633" w:rsidRPr="008B1593" w:rsidRDefault="00542633" w:rsidP="00827BED">
            <w:pPr>
              <w:suppressAutoHyphens/>
              <w:ind w:left="34"/>
              <w:jc w:val="both"/>
              <w:rPr>
                <w:sz w:val="20"/>
                <w:szCs w:val="20"/>
                <w:lang w:val="en-US" w:eastAsia="lt-LT"/>
              </w:rPr>
            </w:pPr>
            <w:r w:rsidRPr="008B1593">
              <w:rPr>
                <w:sz w:val="20"/>
                <w:szCs w:val="20"/>
                <w:lang w:val="en-US" w:eastAsia="lt-LT"/>
              </w:rPr>
              <w:t xml:space="preserve">Thus, we ask to amend this document and provide concrete proposal for the NRAs. </w:t>
            </w:r>
          </w:p>
        </w:tc>
        <w:tc>
          <w:tcPr>
            <w:tcW w:w="6343" w:type="dxa"/>
          </w:tcPr>
          <w:p w14:paraId="2A2370D0" w14:textId="77777777" w:rsidR="00542633" w:rsidRPr="00EF5298" w:rsidRDefault="00542633" w:rsidP="00827BED">
            <w:pPr>
              <w:suppressAutoHyphens/>
              <w:ind w:left="34"/>
              <w:jc w:val="both"/>
              <w:rPr>
                <w:sz w:val="20"/>
                <w:szCs w:val="20"/>
                <w:lang w:val="en-US" w:eastAsia="lt-LT"/>
              </w:rPr>
            </w:pPr>
            <w:r w:rsidRPr="00EF5298">
              <w:rPr>
                <w:sz w:val="20"/>
                <w:szCs w:val="20"/>
                <w:lang w:val="en-US" w:eastAsia="lt-LT"/>
              </w:rPr>
              <w:t xml:space="preserve">Proposal partially taken into account. </w:t>
            </w:r>
          </w:p>
          <w:p w14:paraId="2CABB328" w14:textId="77777777" w:rsidR="00542633" w:rsidRPr="00EF5298" w:rsidRDefault="00542633" w:rsidP="00827BED">
            <w:pPr>
              <w:suppressAutoHyphens/>
              <w:ind w:left="34"/>
              <w:jc w:val="both"/>
              <w:rPr>
                <w:sz w:val="20"/>
                <w:szCs w:val="20"/>
                <w:lang w:val="en-US" w:eastAsia="lt-LT"/>
              </w:rPr>
            </w:pPr>
            <w:r w:rsidRPr="00EF5298">
              <w:rPr>
                <w:sz w:val="20"/>
                <w:szCs w:val="20"/>
                <w:lang w:val="en-US" w:eastAsia="lt-LT"/>
              </w:rPr>
              <w:t>CAM NC Article 9 describes auctioning principles, which are not applied becau</w:t>
            </w:r>
            <w:r>
              <w:rPr>
                <w:sz w:val="20"/>
                <w:szCs w:val="20"/>
                <w:lang w:val="en-US" w:eastAsia="lt-LT"/>
              </w:rPr>
              <w:t>se CAM NC Article 2(5) states “</w:t>
            </w:r>
            <w:r w:rsidRPr="00EF5298">
              <w:rPr>
                <w:sz w:val="20"/>
                <w:szCs w:val="20"/>
                <w:lang w:val="en-US" w:eastAsia="lt-LT"/>
              </w:rPr>
              <w:t>Where implicit capacity allocation methods are applied, national regulatory authorities may decide not to apply Articles 8 to 37.”, which means that articles requiring auctioning are not applicable if decided so by national regulatory authorities. However TSOs agree to prepare transparent provisions in regards to capacity amounts set aside for Implicit Capacity Allocation process.</w:t>
            </w:r>
          </w:p>
          <w:p w14:paraId="5204C5F8" w14:textId="77777777" w:rsidR="00542633" w:rsidRPr="00EF5298" w:rsidRDefault="00542633" w:rsidP="00827BED">
            <w:pPr>
              <w:suppressAutoHyphens/>
              <w:ind w:left="34"/>
              <w:jc w:val="both"/>
              <w:rPr>
                <w:sz w:val="20"/>
                <w:szCs w:val="20"/>
                <w:lang w:val="en-US" w:eastAsia="lt-LT"/>
              </w:rPr>
            </w:pPr>
          </w:p>
          <w:p w14:paraId="1C2B9D07" w14:textId="77777777" w:rsidR="00542633" w:rsidRPr="00EF5298" w:rsidRDefault="00542633" w:rsidP="00827BED">
            <w:pPr>
              <w:suppressAutoHyphens/>
              <w:ind w:left="34"/>
              <w:jc w:val="both"/>
              <w:rPr>
                <w:sz w:val="20"/>
                <w:szCs w:val="20"/>
                <w:lang w:val="en-US" w:eastAsia="lt-LT"/>
              </w:rPr>
            </w:pPr>
          </w:p>
        </w:tc>
      </w:tr>
      <w:tr w:rsidR="00542633" w:rsidRPr="008B1593" w14:paraId="47ABD920" w14:textId="77777777" w:rsidTr="00795AD6">
        <w:trPr>
          <w:trHeight w:val="659"/>
        </w:trPr>
        <w:tc>
          <w:tcPr>
            <w:tcW w:w="2830" w:type="dxa"/>
          </w:tcPr>
          <w:p w14:paraId="4890B22B" w14:textId="77777777" w:rsidR="00542633" w:rsidRPr="008B1593" w:rsidRDefault="00542633" w:rsidP="00827BED">
            <w:pPr>
              <w:tabs>
                <w:tab w:val="left" w:pos="851"/>
                <w:tab w:val="center" w:pos="2443"/>
              </w:tabs>
              <w:suppressAutoHyphens/>
              <w:jc w:val="both"/>
              <w:textAlignment w:val="baseline"/>
              <w:rPr>
                <w:sz w:val="20"/>
                <w:szCs w:val="20"/>
                <w:lang w:val="en-US" w:eastAsia="lt-LT"/>
              </w:rPr>
            </w:pPr>
            <w:r w:rsidRPr="008B1593">
              <w:rPr>
                <w:sz w:val="20"/>
                <w:szCs w:val="20"/>
                <w:lang w:val="en-US" w:eastAsia="lt-LT"/>
              </w:rPr>
              <w:t xml:space="preserve">4.6.7. TSO shall reserve part of the capacity of their IP’s technical capacity for implicit </w:t>
            </w:r>
            <w:r w:rsidRPr="008B1593">
              <w:rPr>
                <w:b/>
                <w:sz w:val="20"/>
                <w:szCs w:val="20"/>
                <w:lang w:val="en-US" w:eastAsia="lt-LT"/>
              </w:rPr>
              <w:t>allocation by itself for bilateral agreements between the network users</w:t>
            </w:r>
            <w:r w:rsidRPr="008B1593">
              <w:rPr>
                <w:sz w:val="20"/>
                <w:szCs w:val="20"/>
                <w:lang w:val="en-US" w:eastAsia="lt-LT"/>
              </w:rPr>
              <w:t>. The exact distribution of capacity allocated by TSO shall be published on TSO’s relevant website.</w:t>
            </w:r>
          </w:p>
        </w:tc>
        <w:tc>
          <w:tcPr>
            <w:tcW w:w="6521" w:type="dxa"/>
          </w:tcPr>
          <w:p w14:paraId="720FEAAB" w14:textId="5D12E75C" w:rsidR="00542633" w:rsidRPr="008B1593" w:rsidRDefault="00B83638" w:rsidP="00827BED">
            <w:pPr>
              <w:suppressAutoHyphens/>
              <w:ind w:left="34"/>
              <w:jc w:val="both"/>
              <w:rPr>
                <w:sz w:val="20"/>
                <w:szCs w:val="20"/>
                <w:lang w:val="en-US" w:eastAsia="lt-LT"/>
              </w:rPr>
            </w:pPr>
            <w:r>
              <w:rPr>
                <w:b/>
                <w:sz w:val="20"/>
                <w:szCs w:val="20"/>
                <w:lang w:val="en-US"/>
              </w:rPr>
              <w:t>Stakeholder 1</w:t>
            </w:r>
            <w:r w:rsidR="00542633">
              <w:rPr>
                <w:b/>
                <w:lang w:val="en-US"/>
              </w:rPr>
              <w:t>:</w:t>
            </w:r>
            <w:r w:rsidR="00542633" w:rsidRPr="008B1593">
              <w:rPr>
                <w:b/>
                <w:sz w:val="20"/>
                <w:szCs w:val="20"/>
                <w:lang w:val="en-US"/>
              </w:rPr>
              <w:t xml:space="preserve"> </w:t>
            </w:r>
            <w:r w:rsidR="00542633" w:rsidRPr="008B1593">
              <w:rPr>
                <w:sz w:val="20"/>
                <w:szCs w:val="20"/>
                <w:lang w:val="en-US" w:eastAsia="lt-LT"/>
              </w:rPr>
              <w:t>Users who have bilateral contract at IPs must procure monthly, quarterly, yearly, long term capacity products or other and book the capacity by themselves.</w:t>
            </w:r>
          </w:p>
          <w:p w14:paraId="67AA9429" w14:textId="77777777" w:rsidR="00542633" w:rsidRPr="008B1593" w:rsidRDefault="00542633" w:rsidP="00827BED">
            <w:pPr>
              <w:suppressAutoHyphens/>
              <w:ind w:left="34"/>
              <w:jc w:val="both"/>
              <w:rPr>
                <w:sz w:val="20"/>
                <w:szCs w:val="20"/>
                <w:lang w:val="en-US" w:eastAsia="lt-LT"/>
              </w:rPr>
            </w:pPr>
            <w:r w:rsidRPr="008B1593">
              <w:rPr>
                <w:sz w:val="20"/>
                <w:szCs w:val="20"/>
                <w:lang w:val="en-US" w:eastAsia="lt-LT"/>
              </w:rPr>
              <w:t>TSO shall set the booking application deadlines then network users have a right to participate and to express their market needs. TSO shall allocate capacity products and quantity based on not discriminatory rules by accepting booking applications, offering interruptible capacity products or using CMPs. Existing long-term bilateral contracts could restrict the access to the system for new supply undertakings if the proposed  paragraph 4.6.7 is applied.</w:t>
            </w:r>
          </w:p>
          <w:p w14:paraId="1602D46B" w14:textId="77777777" w:rsidR="00542633" w:rsidRPr="008B1593" w:rsidRDefault="00542633" w:rsidP="00827BED">
            <w:pPr>
              <w:suppressAutoHyphens/>
              <w:ind w:left="34"/>
              <w:jc w:val="both"/>
              <w:rPr>
                <w:sz w:val="20"/>
                <w:szCs w:val="20"/>
                <w:lang w:val="en-US" w:eastAsia="lt-LT"/>
              </w:rPr>
            </w:pPr>
            <w:r w:rsidRPr="008B1593">
              <w:rPr>
                <w:sz w:val="20"/>
                <w:szCs w:val="20"/>
                <w:lang w:val="en-US" w:eastAsia="lt-LT"/>
              </w:rPr>
              <w:t>To sum up, the proposed principle is not in line with Gas Regulation and CAM NC and should be amended.</w:t>
            </w:r>
          </w:p>
        </w:tc>
        <w:tc>
          <w:tcPr>
            <w:tcW w:w="6343" w:type="dxa"/>
          </w:tcPr>
          <w:p w14:paraId="059BD974" w14:textId="77777777" w:rsidR="00542633" w:rsidRPr="00EF5298" w:rsidRDefault="00542633" w:rsidP="00827BED">
            <w:pPr>
              <w:suppressAutoHyphens/>
              <w:ind w:left="34"/>
              <w:jc w:val="both"/>
              <w:rPr>
                <w:sz w:val="20"/>
                <w:szCs w:val="20"/>
                <w:lang w:val="en-US" w:eastAsia="lt-LT"/>
              </w:rPr>
            </w:pPr>
            <w:r>
              <w:rPr>
                <w:sz w:val="20"/>
                <w:szCs w:val="20"/>
                <w:lang w:val="en-US" w:eastAsia="lt-LT"/>
              </w:rPr>
              <w:t>Proposal t</w:t>
            </w:r>
            <w:r w:rsidRPr="00EF5298">
              <w:rPr>
                <w:sz w:val="20"/>
                <w:szCs w:val="20"/>
                <w:lang w:val="en-US" w:eastAsia="lt-LT"/>
              </w:rPr>
              <w:t>aken into account. Provision deleted.</w:t>
            </w:r>
          </w:p>
        </w:tc>
      </w:tr>
      <w:tr w:rsidR="00542633" w:rsidRPr="008B1593" w14:paraId="2D0623B2" w14:textId="77777777" w:rsidTr="00795AD6">
        <w:trPr>
          <w:trHeight w:val="659"/>
        </w:trPr>
        <w:tc>
          <w:tcPr>
            <w:tcW w:w="2830" w:type="dxa"/>
          </w:tcPr>
          <w:p w14:paraId="26B57944" w14:textId="77777777" w:rsidR="00542633" w:rsidRPr="008B1593" w:rsidRDefault="00542633" w:rsidP="00827BED">
            <w:pPr>
              <w:jc w:val="both"/>
              <w:rPr>
                <w:sz w:val="20"/>
                <w:szCs w:val="20"/>
                <w:lang w:val="en-US"/>
              </w:rPr>
            </w:pPr>
            <w:r w:rsidRPr="008B1593">
              <w:rPr>
                <w:sz w:val="20"/>
                <w:szCs w:val="20"/>
                <w:lang w:val="en-US"/>
              </w:rPr>
              <w:t xml:space="preserve">4.7.2. </w:t>
            </w:r>
            <w:r w:rsidRPr="008B1593">
              <w:rPr>
                <w:b/>
                <w:sz w:val="20"/>
                <w:szCs w:val="20"/>
                <w:lang w:val="en-US"/>
              </w:rPr>
              <w:t>TSO</w:t>
            </w:r>
            <w:r w:rsidRPr="008B1593">
              <w:rPr>
                <w:sz w:val="20"/>
                <w:szCs w:val="20"/>
                <w:lang w:val="en-US"/>
              </w:rPr>
              <w:t xml:space="preserve"> taking into account technical restrictions in the system, </w:t>
            </w:r>
            <w:r w:rsidRPr="008B1593">
              <w:rPr>
                <w:b/>
                <w:sz w:val="20"/>
                <w:szCs w:val="20"/>
                <w:lang w:val="en-US"/>
              </w:rPr>
              <w:t>may offer other capacity products</w:t>
            </w:r>
            <w:r w:rsidRPr="008B1593">
              <w:rPr>
                <w:sz w:val="20"/>
                <w:szCs w:val="20"/>
                <w:lang w:val="en-US"/>
              </w:rPr>
              <w:t xml:space="preserve"> including capacity products with capacity allocation restrictions and capacity delivery restrictions as well as services related there.</w:t>
            </w:r>
          </w:p>
        </w:tc>
        <w:tc>
          <w:tcPr>
            <w:tcW w:w="6521" w:type="dxa"/>
          </w:tcPr>
          <w:p w14:paraId="1AF9FAF9" w14:textId="4DEA5D60" w:rsidR="00542633" w:rsidRPr="008B1593" w:rsidRDefault="00B83638" w:rsidP="00827BED">
            <w:pPr>
              <w:ind w:left="34"/>
              <w:contextualSpacing/>
              <w:jc w:val="both"/>
              <w:rPr>
                <w:sz w:val="20"/>
                <w:szCs w:val="20"/>
                <w:lang w:val="en-US"/>
              </w:rPr>
            </w:pPr>
            <w:r>
              <w:rPr>
                <w:b/>
                <w:sz w:val="20"/>
                <w:szCs w:val="20"/>
                <w:lang w:val="en-US"/>
              </w:rPr>
              <w:t>Stakeholder 1</w:t>
            </w:r>
            <w:r w:rsidR="00542633">
              <w:rPr>
                <w:b/>
                <w:lang w:val="en-US"/>
              </w:rPr>
              <w:t>:</w:t>
            </w:r>
            <w:r w:rsidR="00542633" w:rsidRPr="008B1593">
              <w:rPr>
                <w:b/>
                <w:sz w:val="20"/>
                <w:szCs w:val="20"/>
                <w:lang w:val="en-US"/>
              </w:rPr>
              <w:t xml:space="preserve"> </w:t>
            </w:r>
            <w:r w:rsidR="00542633" w:rsidRPr="008B1593">
              <w:rPr>
                <w:sz w:val="20"/>
                <w:szCs w:val="20"/>
                <w:lang w:val="en-US"/>
              </w:rPr>
              <w:t>It is not clear “when” and “on what conditions” TSO may offer it. It is not a concrete provision</w:t>
            </w:r>
          </w:p>
          <w:p w14:paraId="031DF110" w14:textId="77777777" w:rsidR="00542633" w:rsidRPr="008B1593" w:rsidRDefault="00542633" w:rsidP="00827BED">
            <w:pPr>
              <w:ind w:left="34"/>
              <w:contextualSpacing/>
              <w:jc w:val="both"/>
              <w:rPr>
                <w:sz w:val="20"/>
                <w:szCs w:val="20"/>
                <w:lang w:val="en-US"/>
              </w:rPr>
            </w:pPr>
          </w:p>
          <w:p w14:paraId="2EB594AE" w14:textId="77777777" w:rsidR="00542633" w:rsidRPr="008B1593" w:rsidRDefault="00542633" w:rsidP="00827BED">
            <w:pPr>
              <w:ind w:left="34"/>
              <w:contextualSpacing/>
              <w:jc w:val="both"/>
              <w:rPr>
                <w:sz w:val="20"/>
                <w:szCs w:val="20"/>
                <w:lang w:val="en-US"/>
              </w:rPr>
            </w:pPr>
            <w:r w:rsidRPr="008B1593">
              <w:rPr>
                <w:sz w:val="20"/>
                <w:szCs w:val="20"/>
                <w:lang w:val="en-US"/>
              </w:rPr>
              <w:t>Offering of new products could be considered as an amendment of these Rules. Thus, it’s amendments should be carried out under the same level of scrutiny, because NRAs need to ensure that other products are offered in a transparent and non-discriminatory way. E. g. NRA have an obligation under CAM NC Article 8 (9). We consider that TSOs need NRAs approval when they want to use other products or TSO could define terms and conditions in the Rules of introduction of the new capacity products. TSO should announce introduction of the new products under the terms and requirements defined in this document. E. g. TSO should announce new product no later than 30 days, before the booking of new product by receiving written NRA consent etc.</w:t>
            </w:r>
          </w:p>
        </w:tc>
        <w:tc>
          <w:tcPr>
            <w:tcW w:w="6343" w:type="dxa"/>
          </w:tcPr>
          <w:p w14:paraId="0715B4F4" w14:textId="77777777" w:rsidR="00542633" w:rsidRPr="00EF5298" w:rsidRDefault="00542633" w:rsidP="00F61EEE">
            <w:pPr>
              <w:ind w:left="34"/>
              <w:contextualSpacing/>
              <w:jc w:val="both"/>
              <w:rPr>
                <w:sz w:val="20"/>
                <w:szCs w:val="20"/>
                <w:lang w:val="en-US"/>
              </w:rPr>
            </w:pPr>
            <w:r w:rsidRPr="00EF5298">
              <w:rPr>
                <w:sz w:val="20"/>
                <w:szCs w:val="20"/>
                <w:lang w:val="en-US"/>
              </w:rPr>
              <w:t>Proposal taken into account.</w:t>
            </w:r>
          </w:p>
        </w:tc>
      </w:tr>
      <w:tr w:rsidR="00542633" w:rsidRPr="008B1593" w14:paraId="14EC45E5" w14:textId="77777777" w:rsidTr="00795AD6">
        <w:trPr>
          <w:trHeight w:val="659"/>
        </w:trPr>
        <w:tc>
          <w:tcPr>
            <w:tcW w:w="2830" w:type="dxa"/>
          </w:tcPr>
          <w:p w14:paraId="5F941FD4" w14:textId="77777777" w:rsidR="00542633" w:rsidRPr="008B1593" w:rsidRDefault="00542633" w:rsidP="00827BED">
            <w:pPr>
              <w:jc w:val="both"/>
              <w:rPr>
                <w:sz w:val="20"/>
                <w:szCs w:val="20"/>
                <w:lang w:val="en-US"/>
              </w:rPr>
            </w:pPr>
            <w:r w:rsidRPr="008B1593">
              <w:rPr>
                <w:sz w:val="20"/>
                <w:szCs w:val="20"/>
                <w:lang w:val="en-US"/>
              </w:rPr>
              <w:t>4.7.3. TSO shall publish capacity allocation restrictions and capacity delivery restrictions, if any, affecting individual entry or exit points.</w:t>
            </w:r>
          </w:p>
        </w:tc>
        <w:tc>
          <w:tcPr>
            <w:tcW w:w="6521" w:type="dxa"/>
          </w:tcPr>
          <w:p w14:paraId="509602BF" w14:textId="172ADD70" w:rsidR="00542633" w:rsidRPr="008B1593" w:rsidRDefault="00B83638" w:rsidP="00827BED">
            <w:pPr>
              <w:ind w:left="34"/>
              <w:contextualSpacing/>
              <w:jc w:val="both"/>
              <w:rPr>
                <w:sz w:val="20"/>
                <w:szCs w:val="20"/>
                <w:lang w:val="en-US"/>
              </w:rPr>
            </w:pPr>
            <w:r>
              <w:rPr>
                <w:b/>
                <w:sz w:val="20"/>
                <w:szCs w:val="20"/>
                <w:lang w:val="en-US"/>
              </w:rPr>
              <w:t>Stakeholder 1</w:t>
            </w:r>
            <w:r w:rsidR="00542633">
              <w:rPr>
                <w:b/>
                <w:lang w:val="en-US"/>
              </w:rPr>
              <w:t>:</w:t>
            </w:r>
            <w:r w:rsidR="00542633" w:rsidRPr="008B1593">
              <w:rPr>
                <w:b/>
                <w:sz w:val="20"/>
                <w:szCs w:val="20"/>
                <w:lang w:val="en-US"/>
              </w:rPr>
              <w:t xml:space="preserve"> </w:t>
            </w:r>
            <w:r w:rsidR="00542633" w:rsidRPr="008B1593">
              <w:rPr>
                <w:bCs/>
                <w:kern w:val="32"/>
                <w:sz w:val="20"/>
                <w:szCs w:val="20"/>
                <w:lang w:val="en-US" w:eastAsia="lt-LT"/>
              </w:rPr>
              <w:t>Paragraph 4.7.3 does not contribute to the paragraph 4.7 and to these Rules. TSOs have obligations to publish restrictions regarding other legal acts. We suggest removing this provision.</w:t>
            </w:r>
          </w:p>
        </w:tc>
        <w:tc>
          <w:tcPr>
            <w:tcW w:w="6343" w:type="dxa"/>
          </w:tcPr>
          <w:p w14:paraId="25F44775" w14:textId="77777777" w:rsidR="00542633" w:rsidRPr="00EF5298" w:rsidRDefault="00542633" w:rsidP="00827BED">
            <w:pPr>
              <w:ind w:left="34"/>
              <w:contextualSpacing/>
              <w:jc w:val="both"/>
              <w:rPr>
                <w:bCs/>
                <w:kern w:val="32"/>
                <w:sz w:val="20"/>
                <w:szCs w:val="20"/>
                <w:lang w:val="en-US" w:eastAsia="lt-LT"/>
              </w:rPr>
            </w:pPr>
            <w:r w:rsidRPr="00EF5298">
              <w:rPr>
                <w:sz w:val="20"/>
                <w:szCs w:val="20"/>
                <w:lang w:val="en-US"/>
              </w:rPr>
              <w:t>Proposal taken into account.</w:t>
            </w:r>
          </w:p>
        </w:tc>
      </w:tr>
      <w:tr w:rsidR="00542633" w:rsidRPr="008B1593" w14:paraId="2BF078D7" w14:textId="77777777" w:rsidTr="00795AD6">
        <w:trPr>
          <w:trHeight w:val="659"/>
        </w:trPr>
        <w:tc>
          <w:tcPr>
            <w:tcW w:w="2830" w:type="dxa"/>
          </w:tcPr>
          <w:p w14:paraId="4742227B" w14:textId="77777777" w:rsidR="00542633" w:rsidRPr="008B1593" w:rsidRDefault="00542633" w:rsidP="00827BED">
            <w:pPr>
              <w:tabs>
                <w:tab w:val="left" w:pos="851"/>
              </w:tabs>
              <w:suppressAutoHyphens/>
              <w:jc w:val="both"/>
              <w:textAlignment w:val="baseline"/>
              <w:rPr>
                <w:sz w:val="20"/>
                <w:szCs w:val="20"/>
                <w:lang w:val="en-US" w:eastAsia="lt-LT"/>
              </w:rPr>
            </w:pPr>
            <w:r w:rsidRPr="008B1593">
              <w:rPr>
                <w:sz w:val="20"/>
                <w:szCs w:val="20"/>
                <w:lang w:val="en-US"/>
              </w:rPr>
              <w:lastRenderedPageBreak/>
              <w:t>4.7.5. Network users, which deliver gas to the transmission system of the common balancing zone, must purchase entry capacity at the entry points.</w:t>
            </w:r>
          </w:p>
        </w:tc>
        <w:tc>
          <w:tcPr>
            <w:tcW w:w="6521" w:type="dxa"/>
          </w:tcPr>
          <w:p w14:paraId="4F319CAD" w14:textId="0F913BF5" w:rsidR="00542633" w:rsidRPr="008B1593" w:rsidRDefault="00B83638" w:rsidP="00827BED">
            <w:pPr>
              <w:ind w:left="34"/>
              <w:contextualSpacing/>
              <w:jc w:val="both"/>
              <w:rPr>
                <w:sz w:val="20"/>
                <w:szCs w:val="20"/>
                <w:lang w:val="en-US"/>
              </w:rPr>
            </w:pPr>
            <w:r>
              <w:rPr>
                <w:b/>
                <w:sz w:val="20"/>
                <w:szCs w:val="20"/>
                <w:lang w:val="en-US"/>
              </w:rPr>
              <w:t>Stakeholder 1</w:t>
            </w:r>
            <w:r w:rsidR="00542633">
              <w:rPr>
                <w:b/>
                <w:lang w:val="en-US"/>
              </w:rPr>
              <w:t>:</w:t>
            </w:r>
            <w:r w:rsidR="00542633" w:rsidRPr="008B1593">
              <w:rPr>
                <w:b/>
                <w:sz w:val="20"/>
                <w:szCs w:val="20"/>
                <w:lang w:val="en-US"/>
              </w:rPr>
              <w:t xml:space="preserve"> </w:t>
            </w:r>
            <w:r w:rsidR="00542633" w:rsidRPr="008B1593">
              <w:rPr>
                <w:sz w:val="20"/>
                <w:szCs w:val="20"/>
                <w:lang w:val="en-US"/>
              </w:rPr>
              <w:t>This provision should be amended regarding the case when network users which deliver gas from production entry points to the transmission system of the common balancing zone have to purchase entry capacity.</w:t>
            </w:r>
          </w:p>
          <w:p w14:paraId="3D548A70" w14:textId="77777777" w:rsidR="00542633" w:rsidRPr="008B1593" w:rsidRDefault="00542633" w:rsidP="00827BED">
            <w:pPr>
              <w:ind w:left="34"/>
              <w:contextualSpacing/>
              <w:jc w:val="both"/>
              <w:rPr>
                <w:sz w:val="20"/>
                <w:szCs w:val="20"/>
                <w:lang w:val="en-US"/>
              </w:rPr>
            </w:pPr>
          </w:p>
          <w:p w14:paraId="6F4FD29C" w14:textId="77777777" w:rsidR="00542633" w:rsidRPr="008B1593" w:rsidRDefault="00542633" w:rsidP="00827BED">
            <w:pPr>
              <w:ind w:left="34"/>
              <w:contextualSpacing/>
              <w:jc w:val="both"/>
              <w:rPr>
                <w:sz w:val="20"/>
                <w:szCs w:val="20"/>
                <w:lang w:val="en-US"/>
              </w:rPr>
            </w:pPr>
            <w:r w:rsidRPr="008B1593">
              <w:rPr>
                <w:sz w:val="20"/>
                <w:szCs w:val="20"/>
                <w:lang w:val="en-US"/>
              </w:rPr>
              <w:t>In parallel we suggest adding additional paragraph:</w:t>
            </w:r>
          </w:p>
          <w:p w14:paraId="644FA866" w14:textId="77777777" w:rsidR="00542633" w:rsidRPr="008B1593" w:rsidRDefault="00542633" w:rsidP="00827BED">
            <w:pPr>
              <w:ind w:left="34"/>
              <w:contextualSpacing/>
              <w:jc w:val="both"/>
              <w:rPr>
                <w:sz w:val="20"/>
                <w:szCs w:val="20"/>
                <w:lang w:val="en-US"/>
              </w:rPr>
            </w:pPr>
            <w:r w:rsidRPr="008B1593">
              <w:rPr>
                <w:sz w:val="20"/>
                <w:szCs w:val="20"/>
                <w:lang w:val="en-US"/>
              </w:rPr>
              <w:t>“</w:t>
            </w:r>
            <w:r w:rsidRPr="008B1593">
              <w:rPr>
                <w:i/>
                <w:sz w:val="20"/>
                <w:szCs w:val="20"/>
                <w:lang w:val="en-US"/>
              </w:rPr>
              <w:t>Network users, which deliver gas from common balancing zone to the adjacent transmission system, must purchase exit capacity at the exit points</w:t>
            </w:r>
            <w:r w:rsidRPr="008B1593">
              <w:rPr>
                <w:sz w:val="20"/>
                <w:szCs w:val="20"/>
                <w:lang w:val="en-US"/>
              </w:rPr>
              <w:t>.“</w:t>
            </w:r>
          </w:p>
        </w:tc>
        <w:tc>
          <w:tcPr>
            <w:tcW w:w="6343" w:type="dxa"/>
          </w:tcPr>
          <w:p w14:paraId="5EFC4976" w14:textId="77777777" w:rsidR="00542633" w:rsidRDefault="00542633" w:rsidP="00EF5298">
            <w:pPr>
              <w:ind w:left="34"/>
              <w:contextualSpacing/>
              <w:jc w:val="both"/>
              <w:rPr>
                <w:sz w:val="20"/>
                <w:szCs w:val="20"/>
                <w:lang w:val="en-US"/>
              </w:rPr>
            </w:pPr>
            <w:r>
              <w:rPr>
                <w:sz w:val="20"/>
                <w:szCs w:val="20"/>
                <w:lang w:val="en-US"/>
              </w:rPr>
              <w:t>Proposal taken into account.</w:t>
            </w:r>
          </w:p>
          <w:p w14:paraId="0F9B301A" w14:textId="77777777" w:rsidR="00542633" w:rsidRDefault="00542633" w:rsidP="00EF5298">
            <w:pPr>
              <w:ind w:left="34"/>
              <w:contextualSpacing/>
              <w:jc w:val="both"/>
              <w:rPr>
                <w:sz w:val="20"/>
                <w:szCs w:val="20"/>
                <w:lang w:val="en-US"/>
              </w:rPr>
            </w:pPr>
            <w:r>
              <w:rPr>
                <w:sz w:val="20"/>
                <w:szCs w:val="20"/>
                <w:lang w:val="en-US"/>
              </w:rPr>
              <w:t>Article amended to reflect requirement to book entry and exit points.</w:t>
            </w:r>
          </w:p>
          <w:p w14:paraId="4F910F11" w14:textId="77777777" w:rsidR="00542633" w:rsidRDefault="00542633" w:rsidP="00EF5298">
            <w:pPr>
              <w:ind w:left="34"/>
              <w:contextualSpacing/>
              <w:jc w:val="both"/>
              <w:rPr>
                <w:sz w:val="20"/>
                <w:szCs w:val="20"/>
                <w:lang w:val="en-US"/>
              </w:rPr>
            </w:pPr>
          </w:p>
          <w:p w14:paraId="0AFBCCCE" w14:textId="77777777" w:rsidR="00542633" w:rsidRPr="00EF5298" w:rsidRDefault="00542633" w:rsidP="00EF5298">
            <w:pPr>
              <w:ind w:left="34"/>
              <w:contextualSpacing/>
              <w:jc w:val="both"/>
              <w:rPr>
                <w:sz w:val="20"/>
                <w:szCs w:val="20"/>
                <w:lang w:val="en-US"/>
              </w:rPr>
            </w:pPr>
          </w:p>
        </w:tc>
      </w:tr>
      <w:tr w:rsidR="00542633" w:rsidRPr="008B1593" w14:paraId="32023137" w14:textId="77777777" w:rsidTr="00795AD6">
        <w:trPr>
          <w:trHeight w:val="659"/>
        </w:trPr>
        <w:tc>
          <w:tcPr>
            <w:tcW w:w="2830" w:type="dxa"/>
          </w:tcPr>
          <w:p w14:paraId="435887C7" w14:textId="77777777" w:rsidR="00542633" w:rsidRPr="008B1593" w:rsidRDefault="00542633" w:rsidP="00827BED">
            <w:pPr>
              <w:tabs>
                <w:tab w:val="left" w:pos="851"/>
              </w:tabs>
              <w:suppressAutoHyphens/>
              <w:jc w:val="both"/>
              <w:textAlignment w:val="baseline"/>
              <w:rPr>
                <w:sz w:val="20"/>
                <w:szCs w:val="20"/>
                <w:lang w:val="en-US"/>
              </w:rPr>
            </w:pPr>
            <w:r w:rsidRPr="008B1593">
              <w:rPr>
                <w:sz w:val="20"/>
                <w:szCs w:val="20"/>
                <w:lang w:val="en-US" w:eastAsia="lt-LT"/>
              </w:rPr>
              <w:t>4.7.6. Yearly capacity booking using FCFS principle</w:t>
            </w:r>
          </w:p>
        </w:tc>
        <w:tc>
          <w:tcPr>
            <w:tcW w:w="6521" w:type="dxa"/>
          </w:tcPr>
          <w:p w14:paraId="365DB58F" w14:textId="48B8719B" w:rsidR="00542633" w:rsidRPr="008B1593" w:rsidRDefault="00B83638" w:rsidP="00827BED">
            <w:pPr>
              <w:ind w:left="34"/>
              <w:contextualSpacing/>
              <w:jc w:val="both"/>
              <w:rPr>
                <w:sz w:val="20"/>
                <w:szCs w:val="20"/>
                <w:lang w:val="en-US"/>
              </w:rPr>
            </w:pPr>
            <w:r>
              <w:rPr>
                <w:b/>
                <w:sz w:val="20"/>
                <w:szCs w:val="20"/>
                <w:lang w:val="en-US"/>
              </w:rPr>
              <w:t>Stakeholder 1</w:t>
            </w:r>
            <w:r w:rsidR="00542633">
              <w:rPr>
                <w:b/>
                <w:lang w:val="en-US"/>
              </w:rPr>
              <w:t>:</w:t>
            </w:r>
            <w:r w:rsidR="00542633" w:rsidRPr="008B1593">
              <w:rPr>
                <w:b/>
                <w:sz w:val="20"/>
                <w:szCs w:val="20"/>
                <w:lang w:val="en-US"/>
              </w:rPr>
              <w:t xml:space="preserve"> </w:t>
            </w:r>
            <w:r w:rsidR="00542633" w:rsidRPr="008B1593">
              <w:rPr>
                <w:sz w:val="20"/>
                <w:szCs w:val="20"/>
                <w:lang w:val="en-US"/>
              </w:rPr>
              <w:t>The proposed deadlines of booking applications should be justified by the TSOs. E. g. what are the reasons, and why do they need to know what are the yearly capacity demand no later than 2 months before the start of the gas year, when AB “Amber Grid” needs only 21 day.</w:t>
            </w:r>
          </w:p>
          <w:p w14:paraId="440B07BD" w14:textId="77777777" w:rsidR="00542633" w:rsidRPr="008B1593" w:rsidRDefault="00542633" w:rsidP="00827BED">
            <w:pPr>
              <w:ind w:left="34"/>
              <w:contextualSpacing/>
              <w:jc w:val="both"/>
              <w:rPr>
                <w:sz w:val="20"/>
                <w:szCs w:val="20"/>
                <w:lang w:val="en-US"/>
              </w:rPr>
            </w:pPr>
            <w:r w:rsidRPr="008B1593">
              <w:rPr>
                <w:sz w:val="20"/>
                <w:szCs w:val="20"/>
                <w:lang w:val="en-US"/>
              </w:rPr>
              <w:t>TSOs should provide justification if it is related with a system flows management and etc. Because, 2 months prior deadline from first look seems unreasonably long deadline.</w:t>
            </w:r>
          </w:p>
          <w:p w14:paraId="7634C0DD" w14:textId="77777777" w:rsidR="00542633" w:rsidRDefault="00542633" w:rsidP="00827BED">
            <w:pPr>
              <w:ind w:left="34"/>
              <w:jc w:val="both"/>
              <w:rPr>
                <w:sz w:val="20"/>
                <w:szCs w:val="20"/>
                <w:lang w:val="en-US"/>
              </w:rPr>
            </w:pPr>
            <w:r w:rsidRPr="008B1593">
              <w:rPr>
                <w:sz w:val="20"/>
                <w:szCs w:val="20"/>
                <w:lang w:val="en-US"/>
              </w:rPr>
              <w:t>The more flexible the deadline – the more accurate forecasts for the gas demand network users can make – the lower expenditure on natural gas for the network user and for the final consumer.</w:t>
            </w:r>
          </w:p>
          <w:p w14:paraId="60D7CB01" w14:textId="748AFA8C" w:rsidR="00542633" w:rsidRPr="008B1593" w:rsidRDefault="00B83638" w:rsidP="00827BED">
            <w:pPr>
              <w:ind w:left="34"/>
              <w:jc w:val="both"/>
              <w:rPr>
                <w:sz w:val="20"/>
                <w:szCs w:val="20"/>
                <w:lang w:val="en-US"/>
              </w:rPr>
            </w:pPr>
            <w:r>
              <w:rPr>
                <w:b/>
                <w:sz w:val="20"/>
                <w:szCs w:val="20"/>
                <w:lang w:val="en-US"/>
              </w:rPr>
              <w:t>Stakeholder 3</w:t>
            </w:r>
            <w:r w:rsidR="00542633" w:rsidRPr="00BC6CE3">
              <w:rPr>
                <w:b/>
                <w:sz w:val="20"/>
                <w:szCs w:val="20"/>
                <w:lang w:val="en-US"/>
              </w:rPr>
              <w:t>:</w:t>
            </w:r>
            <w:r w:rsidR="00542633">
              <w:rPr>
                <w:sz w:val="20"/>
                <w:szCs w:val="20"/>
                <w:lang w:val="en-US"/>
              </w:rPr>
              <w:t xml:space="preserve"> </w:t>
            </w:r>
            <w:r w:rsidR="00542633">
              <w:t xml:space="preserve"> </w:t>
            </w:r>
            <w:r w:rsidR="00542633" w:rsidRPr="00BC6CE3">
              <w:rPr>
                <w:sz w:val="20"/>
                <w:szCs w:val="20"/>
                <w:lang w:val="en-US"/>
              </w:rPr>
              <w:t>Par. 4.7.6. states that yearly capacity product can be booked 3 months before beginning of the gas year up to 2 months prior to the start of the year. We propose to keep possibility to book yearly capacity up to one day before the year starts (in the same manner as quarterly and monthly capacity products work).</w:t>
            </w:r>
          </w:p>
        </w:tc>
        <w:tc>
          <w:tcPr>
            <w:tcW w:w="6343" w:type="dxa"/>
          </w:tcPr>
          <w:p w14:paraId="5193D4C8" w14:textId="77777777" w:rsidR="00542633" w:rsidRPr="00EF5298" w:rsidRDefault="00542633" w:rsidP="00AA6562">
            <w:pPr>
              <w:ind w:left="34"/>
              <w:contextualSpacing/>
              <w:jc w:val="both"/>
              <w:rPr>
                <w:sz w:val="20"/>
                <w:szCs w:val="20"/>
                <w:lang w:val="en-US"/>
              </w:rPr>
            </w:pPr>
            <w:r w:rsidRPr="00EF5298">
              <w:rPr>
                <w:sz w:val="20"/>
                <w:szCs w:val="20"/>
                <w:lang w:val="en-US"/>
              </w:rPr>
              <w:t xml:space="preserve">Proposal </w:t>
            </w:r>
            <w:r>
              <w:rPr>
                <w:sz w:val="20"/>
                <w:szCs w:val="20"/>
                <w:lang w:val="en-US"/>
              </w:rPr>
              <w:t>taken into account</w:t>
            </w:r>
            <w:r w:rsidRPr="00EF5298">
              <w:rPr>
                <w:sz w:val="20"/>
                <w:szCs w:val="20"/>
                <w:lang w:val="en-US"/>
              </w:rPr>
              <w:t>.</w:t>
            </w:r>
          </w:p>
        </w:tc>
      </w:tr>
      <w:tr w:rsidR="00542633" w:rsidRPr="008B1593" w14:paraId="02B27E25" w14:textId="77777777" w:rsidTr="00795AD6">
        <w:trPr>
          <w:trHeight w:val="659"/>
        </w:trPr>
        <w:tc>
          <w:tcPr>
            <w:tcW w:w="2830" w:type="dxa"/>
          </w:tcPr>
          <w:p w14:paraId="1926D204" w14:textId="77777777" w:rsidR="00542633" w:rsidRPr="008B1593" w:rsidRDefault="00542633" w:rsidP="00827BED">
            <w:pPr>
              <w:tabs>
                <w:tab w:val="left" w:pos="1276"/>
              </w:tabs>
              <w:suppressAutoHyphens/>
              <w:jc w:val="both"/>
              <w:textAlignment w:val="baseline"/>
              <w:rPr>
                <w:bCs/>
                <w:sz w:val="20"/>
                <w:szCs w:val="20"/>
                <w:lang w:val="en-US" w:eastAsia="lt-LT"/>
              </w:rPr>
            </w:pPr>
            <w:r w:rsidRPr="008B1593">
              <w:rPr>
                <w:sz w:val="20"/>
                <w:szCs w:val="20"/>
                <w:lang w:val="en-US"/>
              </w:rPr>
              <w:t>4.7.6.1. The network user shall submit the yearly capacity booking application of a long-term capacity 3 months before beginning of the gas year up to 2 months prior to the start of the gas year.</w:t>
            </w:r>
          </w:p>
        </w:tc>
        <w:tc>
          <w:tcPr>
            <w:tcW w:w="6521" w:type="dxa"/>
          </w:tcPr>
          <w:p w14:paraId="01539E6D" w14:textId="64A8A8E1" w:rsidR="00542633" w:rsidRPr="008B1593" w:rsidRDefault="00B83638" w:rsidP="00827BED">
            <w:pPr>
              <w:ind w:left="34"/>
              <w:jc w:val="both"/>
              <w:rPr>
                <w:sz w:val="20"/>
                <w:szCs w:val="20"/>
                <w:lang w:val="en-US"/>
              </w:rPr>
            </w:pPr>
            <w:r>
              <w:rPr>
                <w:b/>
                <w:sz w:val="20"/>
                <w:szCs w:val="20"/>
                <w:lang w:val="en-US"/>
              </w:rPr>
              <w:t>Stakeholder 1</w:t>
            </w:r>
            <w:r w:rsidR="00542633">
              <w:rPr>
                <w:b/>
                <w:lang w:val="en-US"/>
              </w:rPr>
              <w:t>:</w:t>
            </w:r>
            <w:r w:rsidR="00542633" w:rsidRPr="008B1593">
              <w:rPr>
                <w:b/>
                <w:sz w:val="20"/>
                <w:szCs w:val="20"/>
                <w:lang w:val="en-US"/>
              </w:rPr>
              <w:t xml:space="preserve"> </w:t>
            </w:r>
            <w:r w:rsidR="00542633" w:rsidRPr="008B1593">
              <w:rPr>
                <w:sz w:val="20"/>
                <w:szCs w:val="20"/>
                <w:lang w:val="en-US"/>
              </w:rPr>
              <w:t>These Rules offer less flexible provisions than current Amber Grid rules. It’s paragraph 50.1.1 sets 6 months deadline before. And 21 days deadline – prior. Also, we suggest using Amber Grid rules wording for paragraph 4.7.6 and 4.7.8 because it is written in more comprehensible way.</w:t>
            </w:r>
          </w:p>
        </w:tc>
        <w:tc>
          <w:tcPr>
            <w:tcW w:w="6343" w:type="dxa"/>
          </w:tcPr>
          <w:p w14:paraId="7FF16D32" w14:textId="77777777" w:rsidR="00542633" w:rsidRPr="00EF5298" w:rsidRDefault="00542633" w:rsidP="00AA6562">
            <w:pPr>
              <w:ind w:left="34"/>
              <w:jc w:val="both"/>
              <w:rPr>
                <w:sz w:val="20"/>
                <w:szCs w:val="20"/>
                <w:lang w:val="en-US"/>
              </w:rPr>
            </w:pPr>
            <w:r w:rsidRPr="00EF5298">
              <w:rPr>
                <w:sz w:val="20"/>
                <w:szCs w:val="20"/>
                <w:lang w:val="en-US"/>
              </w:rPr>
              <w:t xml:space="preserve">Proposal </w:t>
            </w:r>
            <w:r>
              <w:rPr>
                <w:sz w:val="20"/>
                <w:szCs w:val="20"/>
                <w:lang w:val="en-US"/>
              </w:rPr>
              <w:t>taken into account</w:t>
            </w:r>
            <w:r w:rsidRPr="00EF5298">
              <w:rPr>
                <w:sz w:val="20"/>
                <w:szCs w:val="20"/>
                <w:lang w:val="en-US"/>
              </w:rPr>
              <w:t>.</w:t>
            </w:r>
          </w:p>
        </w:tc>
      </w:tr>
      <w:tr w:rsidR="00542633" w:rsidRPr="008B1593" w14:paraId="669CFF86" w14:textId="77777777" w:rsidTr="00795AD6">
        <w:trPr>
          <w:trHeight w:val="659"/>
        </w:trPr>
        <w:tc>
          <w:tcPr>
            <w:tcW w:w="2830" w:type="dxa"/>
          </w:tcPr>
          <w:p w14:paraId="149DF5EF" w14:textId="77777777" w:rsidR="00542633" w:rsidRPr="008B1593" w:rsidRDefault="00542633" w:rsidP="00827BED">
            <w:pPr>
              <w:tabs>
                <w:tab w:val="left" w:pos="851"/>
              </w:tabs>
              <w:suppressAutoHyphens/>
              <w:jc w:val="both"/>
              <w:textAlignment w:val="baseline"/>
              <w:rPr>
                <w:sz w:val="20"/>
                <w:szCs w:val="20"/>
                <w:lang w:val="en-US" w:eastAsia="lt-LT"/>
              </w:rPr>
            </w:pPr>
            <w:r w:rsidRPr="008B1593">
              <w:rPr>
                <w:bCs/>
                <w:sz w:val="20"/>
                <w:szCs w:val="20"/>
                <w:lang w:val="en-US" w:eastAsia="lt-LT"/>
              </w:rPr>
              <w:t xml:space="preserve">4.7.6.3. If the request for the firm capacity exceeds the available capacity and the network user has not indicated the minimum acceptable quantity the TSO shall reject the capacity booking application and notify the network user. If network user has indicated minimum acceptable quantity and it is less or equal to all available capacity then all available capacity shall be allocated. If network user has </w:t>
            </w:r>
            <w:r w:rsidRPr="008B1593">
              <w:rPr>
                <w:bCs/>
                <w:sz w:val="20"/>
                <w:szCs w:val="20"/>
                <w:lang w:val="en-US" w:eastAsia="lt-LT"/>
              </w:rPr>
              <w:lastRenderedPageBreak/>
              <w:t>indicated minimum acceptable quantity, but it is higher than all available capacity, TSO shall reject the capacity booking application and notify the network user.</w:t>
            </w:r>
          </w:p>
        </w:tc>
        <w:tc>
          <w:tcPr>
            <w:tcW w:w="6521" w:type="dxa"/>
          </w:tcPr>
          <w:p w14:paraId="0AF096EA" w14:textId="4E9C3429" w:rsidR="00542633" w:rsidRPr="008B1593" w:rsidRDefault="00B83638" w:rsidP="00827BED">
            <w:pPr>
              <w:keepNext/>
              <w:widowControl w:val="0"/>
              <w:ind w:left="34"/>
              <w:jc w:val="both"/>
              <w:outlineLvl w:val="2"/>
              <w:rPr>
                <w:sz w:val="20"/>
                <w:szCs w:val="20"/>
                <w:lang w:val="en-US"/>
              </w:rPr>
            </w:pPr>
            <w:r>
              <w:rPr>
                <w:b/>
                <w:sz w:val="20"/>
                <w:szCs w:val="20"/>
                <w:lang w:val="en-US"/>
              </w:rPr>
              <w:lastRenderedPageBreak/>
              <w:t>Stakeholder 1</w:t>
            </w:r>
            <w:r w:rsidR="00542633">
              <w:rPr>
                <w:b/>
                <w:lang w:val="en-US"/>
              </w:rPr>
              <w:t>:</w:t>
            </w:r>
            <w:r w:rsidR="00542633" w:rsidRPr="008B1593">
              <w:rPr>
                <w:b/>
                <w:sz w:val="20"/>
                <w:szCs w:val="20"/>
                <w:lang w:val="en-US"/>
              </w:rPr>
              <w:t xml:space="preserve"> </w:t>
            </w:r>
            <w:r w:rsidR="00542633" w:rsidRPr="008B1593">
              <w:rPr>
                <w:sz w:val="20"/>
                <w:szCs w:val="20"/>
                <w:lang w:val="en-US"/>
              </w:rPr>
              <w:t>In case when there is not enough capacity, TSO shall offer interruptible capacity regarding Gas Regulation Art. 14 and 16 (3) (a). Thus, the TSOs process for offering interruptible capacity should be integrated with a firm capacity booking application. Also, TSOs shall use pro rata principle at third counties entry-exit points and CMPs at IPs.</w:t>
            </w:r>
          </w:p>
        </w:tc>
        <w:tc>
          <w:tcPr>
            <w:tcW w:w="6343" w:type="dxa"/>
          </w:tcPr>
          <w:p w14:paraId="4ADA4541" w14:textId="77777777" w:rsidR="00542633" w:rsidRPr="00EF5298" w:rsidRDefault="00542633" w:rsidP="00227915">
            <w:pPr>
              <w:keepNext/>
              <w:widowControl w:val="0"/>
              <w:ind w:left="34"/>
              <w:jc w:val="both"/>
              <w:outlineLvl w:val="2"/>
              <w:rPr>
                <w:sz w:val="20"/>
                <w:szCs w:val="20"/>
                <w:lang w:val="en-US"/>
              </w:rPr>
            </w:pPr>
            <w:r w:rsidRPr="00EF5298">
              <w:rPr>
                <w:sz w:val="20"/>
                <w:szCs w:val="20"/>
                <w:lang w:val="en-US"/>
              </w:rPr>
              <w:t xml:space="preserve">Proposal not taken into account. </w:t>
            </w:r>
          </w:p>
          <w:p w14:paraId="329FBBEF" w14:textId="77777777" w:rsidR="00542633" w:rsidRPr="00EF5298" w:rsidRDefault="00542633" w:rsidP="00227915">
            <w:pPr>
              <w:keepNext/>
              <w:widowControl w:val="0"/>
              <w:ind w:left="34"/>
              <w:jc w:val="both"/>
              <w:outlineLvl w:val="2"/>
              <w:rPr>
                <w:sz w:val="20"/>
                <w:szCs w:val="20"/>
                <w:lang w:val="en-US"/>
              </w:rPr>
            </w:pPr>
            <w:r w:rsidRPr="00EF5298">
              <w:rPr>
                <w:sz w:val="20"/>
                <w:szCs w:val="20"/>
                <w:lang w:val="en-US"/>
              </w:rPr>
              <w:t xml:space="preserve">Booking of interruptible capacity integrated in firm capacity booking imposes risk of selling unwanted product by network user. In TSOs opinion it is better to leave booking of interruptible capacity as separate process initiated by network user decision as interruptible and firm product differ by their qualities. If </w:t>
            </w:r>
            <w:r w:rsidRPr="00EF5298">
              <w:rPr>
                <w:i/>
                <w:sz w:val="20"/>
                <w:szCs w:val="20"/>
                <w:lang w:val="en-US"/>
              </w:rPr>
              <w:t>pro rata</w:t>
            </w:r>
            <w:r w:rsidRPr="00EF5298">
              <w:rPr>
                <w:sz w:val="20"/>
                <w:szCs w:val="20"/>
                <w:lang w:val="en-US"/>
              </w:rPr>
              <w:t xml:space="preserve"> principle is implemented extended booking deadlines are not in favor to network users, as dividing by pro rata would be possible only after the conclusion of booking deadline. As TSOs agreed to increase booking deadlines and congestions are not observed, pro rata principle will not be applied until observation of congestions.</w:t>
            </w:r>
          </w:p>
        </w:tc>
      </w:tr>
      <w:tr w:rsidR="00542633" w:rsidRPr="008B1593" w14:paraId="4FF06B01" w14:textId="77777777" w:rsidTr="00795AD6">
        <w:trPr>
          <w:trHeight w:val="659"/>
        </w:trPr>
        <w:tc>
          <w:tcPr>
            <w:tcW w:w="2830" w:type="dxa"/>
          </w:tcPr>
          <w:p w14:paraId="30039A96" w14:textId="77777777" w:rsidR="00542633" w:rsidRPr="008B1593" w:rsidRDefault="00542633" w:rsidP="00827BED">
            <w:pPr>
              <w:tabs>
                <w:tab w:val="left" w:pos="851"/>
              </w:tabs>
              <w:suppressAutoHyphens/>
              <w:jc w:val="both"/>
              <w:textAlignment w:val="baseline"/>
              <w:rPr>
                <w:sz w:val="20"/>
                <w:szCs w:val="20"/>
                <w:lang w:val="en-US" w:eastAsia="lt-LT"/>
              </w:rPr>
            </w:pPr>
            <w:r w:rsidRPr="008B1593">
              <w:rPr>
                <w:sz w:val="20"/>
                <w:szCs w:val="20"/>
                <w:lang w:val="en-US" w:eastAsia="lt-LT"/>
              </w:rPr>
              <w:t>4.7.7. Short-term capacity booking using FCFS principle</w:t>
            </w:r>
          </w:p>
        </w:tc>
        <w:tc>
          <w:tcPr>
            <w:tcW w:w="6521" w:type="dxa"/>
          </w:tcPr>
          <w:p w14:paraId="154E3D58" w14:textId="1D3E9045" w:rsidR="00542633" w:rsidRPr="008B1593" w:rsidRDefault="00B83638" w:rsidP="00827BED">
            <w:pPr>
              <w:ind w:left="34"/>
              <w:contextualSpacing/>
              <w:jc w:val="both"/>
              <w:rPr>
                <w:sz w:val="20"/>
                <w:szCs w:val="20"/>
                <w:lang w:val="en-US"/>
              </w:rPr>
            </w:pPr>
            <w:r>
              <w:rPr>
                <w:b/>
                <w:sz w:val="20"/>
                <w:szCs w:val="20"/>
                <w:lang w:val="en-US"/>
              </w:rPr>
              <w:t>Stakeholder 1</w:t>
            </w:r>
            <w:r w:rsidR="00542633">
              <w:rPr>
                <w:b/>
                <w:lang w:val="en-US"/>
              </w:rPr>
              <w:t>:</w:t>
            </w:r>
            <w:r w:rsidR="00542633" w:rsidRPr="008B1593">
              <w:rPr>
                <w:b/>
                <w:sz w:val="20"/>
                <w:szCs w:val="20"/>
                <w:lang w:val="en-US"/>
              </w:rPr>
              <w:t xml:space="preserve"> </w:t>
            </w:r>
            <w:r w:rsidR="00542633" w:rsidRPr="008B1593">
              <w:rPr>
                <w:sz w:val="20"/>
                <w:szCs w:val="20"/>
                <w:lang w:val="en-US"/>
              </w:rPr>
              <w:t>We note that the final capacity booking application deadlines (hours) and nomination deadlines should correlate and be harmonized with applicable balancing regime and trading platforms sessions gate closure times in order to enable network users to balance their portfolios to the full extent.</w:t>
            </w:r>
          </w:p>
        </w:tc>
        <w:tc>
          <w:tcPr>
            <w:tcW w:w="6343" w:type="dxa"/>
          </w:tcPr>
          <w:p w14:paraId="75940C11" w14:textId="77777777" w:rsidR="00542633" w:rsidRPr="00EF5298" w:rsidRDefault="00542633" w:rsidP="00F32366">
            <w:pPr>
              <w:ind w:left="34"/>
              <w:contextualSpacing/>
              <w:jc w:val="both"/>
              <w:rPr>
                <w:sz w:val="20"/>
                <w:szCs w:val="20"/>
                <w:lang w:val="en-US"/>
              </w:rPr>
            </w:pPr>
            <w:r w:rsidRPr="00EF5298">
              <w:rPr>
                <w:sz w:val="20"/>
                <w:szCs w:val="20"/>
                <w:lang w:val="en-US"/>
              </w:rPr>
              <w:t xml:space="preserve">Proposal </w:t>
            </w:r>
            <w:r>
              <w:rPr>
                <w:sz w:val="20"/>
                <w:szCs w:val="20"/>
                <w:lang w:val="en-US"/>
              </w:rPr>
              <w:t>taken into account</w:t>
            </w:r>
            <w:r w:rsidRPr="00EF5298">
              <w:rPr>
                <w:sz w:val="20"/>
                <w:szCs w:val="20"/>
                <w:lang w:val="en-US"/>
              </w:rPr>
              <w:t>.</w:t>
            </w:r>
          </w:p>
        </w:tc>
      </w:tr>
      <w:tr w:rsidR="00542633" w:rsidRPr="008B1593" w14:paraId="4A1CBEF0" w14:textId="77777777" w:rsidTr="00795AD6">
        <w:trPr>
          <w:trHeight w:val="659"/>
        </w:trPr>
        <w:tc>
          <w:tcPr>
            <w:tcW w:w="2830" w:type="dxa"/>
          </w:tcPr>
          <w:p w14:paraId="5545D8AF" w14:textId="77777777" w:rsidR="00542633" w:rsidRPr="008B1593" w:rsidRDefault="00542633" w:rsidP="00827BED">
            <w:pPr>
              <w:tabs>
                <w:tab w:val="left" w:pos="851"/>
              </w:tabs>
              <w:suppressAutoHyphens/>
              <w:jc w:val="both"/>
              <w:textAlignment w:val="baseline"/>
              <w:rPr>
                <w:sz w:val="20"/>
                <w:szCs w:val="20"/>
                <w:lang w:val="en-US" w:eastAsia="lt-LT"/>
              </w:rPr>
            </w:pPr>
            <w:r w:rsidRPr="008B1593">
              <w:rPr>
                <w:sz w:val="20"/>
                <w:szCs w:val="20"/>
                <w:lang w:val="en-US" w:eastAsia="lt-LT"/>
              </w:rPr>
              <w:t>4.7.7.1. The network user shall submit short-term capacity booking applications within the following periods:</w:t>
            </w:r>
          </w:p>
          <w:p w14:paraId="73968AD0" w14:textId="77777777" w:rsidR="00542633" w:rsidRPr="008B1593" w:rsidRDefault="00542633" w:rsidP="00827BED">
            <w:pPr>
              <w:tabs>
                <w:tab w:val="left" w:pos="851"/>
              </w:tabs>
              <w:suppressAutoHyphens/>
              <w:jc w:val="both"/>
              <w:textAlignment w:val="baseline"/>
              <w:rPr>
                <w:sz w:val="20"/>
                <w:szCs w:val="20"/>
                <w:lang w:val="en-US" w:eastAsia="lt-LT"/>
              </w:rPr>
            </w:pPr>
            <w:r w:rsidRPr="008B1593">
              <w:rPr>
                <w:sz w:val="20"/>
                <w:szCs w:val="20"/>
                <w:lang w:val="en-US" w:eastAsia="lt-LT"/>
              </w:rPr>
              <w:t>a) quarterly product starting two (2) months before gas year including respective quarter until 15:00 EE(S)T on a day before</w:t>
            </w:r>
          </w:p>
        </w:tc>
        <w:tc>
          <w:tcPr>
            <w:tcW w:w="6521" w:type="dxa"/>
          </w:tcPr>
          <w:p w14:paraId="71583436" w14:textId="08962147" w:rsidR="00542633" w:rsidRPr="008B1593" w:rsidRDefault="00B83638" w:rsidP="000C639F">
            <w:pPr>
              <w:ind w:left="34"/>
              <w:jc w:val="both"/>
              <w:rPr>
                <w:sz w:val="20"/>
                <w:szCs w:val="20"/>
                <w:lang w:val="en-US"/>
              </w:rPr>
            </w:pPr>
            <w:r>
              <w:rPr>
                <w:b/>
                <w:sz w:val="20"/>
                <w:szCs w:val="20"/>
                <w:lang w:val="en-US"/>
              </w:rPr>
              <w:t>Stakeholder 1</w:t>
            </w:r>
            <w:r w:rsidR="00542633">
              <w:rPr>
                <w:b/>
                <w:lang w:val="en-US"/>
              </w:rPr>
              <w:t>:</w:t>
            </w:r>
            <w:r w:rsidR="00542633" w:rsidRPr="008B1593">
              <w:rPr>
                <w:b/>
                <w:sz w:val="20"/>
                <w:szCs w:val="20"/>
                <w:lang w:val="en-US"/>
              </w:rPr>
              <w:t xml:space="preserve"> </w:t>
            </w:r>
            <w:r w:rsidR="00542633" w:rsidRPr="008B1593">
              <w:rPr>
                <w:sz w:val="20"/>
                <w:szCs w:val="20"/>
                <w:lang w:val="en-US"/>
              </w:rPr>
              <w:t>These Rules offer less flexible provisions than current Amber Grid rules, 2 months vs 20 days. We propose to harmoni</w:t>
            </w:r>
            <w:r w:rsidR="000C639F">
              <w:rPr>
                <w:sz w:val="20"/>
                <w:szCs w:val="20"/>
                <w:lang w:val="en-US"/>
              </w:rPr>
              <w:t>z</w:t>
            </w:r>
            <w:r w:rsidR="00542633" w:rsidRPr="008B1593">
              <w:rPr>
                <w:sz w:val="20"/>
                <w:szCs w:val="20"/>
                <w:lang w:val="en-US"/>
              </w:rPr>
              <w:t>e deadlines.</w:t>
            </w:r>
          </w:p>
        </w:tc>
        <w:tc>
          <w:tcPr>
            <w:tcW w:w="6343" w:type="dxa"/>
          </w:tcPr>
          <w:p w14:paraId="5FD7F620" w14:textId="77777777" w:rsidR="00542633" w:rsidRPr="00EF5298" w:rsidRDefault="00542633" w:rsidP="00F32366">
            <w:pPr>
              <w:ind w:left="34"/>
              <w:jc w:val="both"/>
              <w:rPr>
                <w:sz w:val="20"/>
                <w:szCs w:val="20"/>
                <w:lang w:val="en-US"/>
              </w:rPr>
            </w:pPr>
            <w:r w:rsidRPr="00E02A2C">
              <w:rPr>
                <w:sz w:val="20"/>
                <w:szCs w:val="20"/>
                <w:lang w:val="en-US"/>
              </w:rPr>
              <w:t>Amber Grid rules are less flexible for the quarterly capacity and equal for the monthly product. TSOs support not making the rules less flexible.</w:t>
            </w:r>
          </w:p>
        </w:tc>
      </w:tr>
      <w:tr w:rsidR="00542633" w:rsidRPr="008B1593" w14:paraId="0BA34DAD" w14:textId="77777777" w:rsidTr="00795AD6">
        <w:trPr>
          <w:trHeight w:val="659"/>
        </w:trPr>
        <w:tc>
          <w:tcPr>
            <w:tcW w:w="2830" w:type="dxa"/>
          </w:tcPr>
          <w:p w14:paraId="4BD5D155" w14:textId="77777777" w:rsidR="00542633" w:rsidRPr="008B1593" w:rsidRDefault="00542633" w:rsidP="00827BED">
            <w:pPr>
              <w:tabs>
                <w:tab w:val="left" w:pos="851"/>
              </w:tabs>
              <w:suppressAutoHyphens/>
              <w:jc w:val="both"/>
              <w:textAlignment w:val="baseline"/>
              <w:rPr>
                <w:sz w:val="20"/>
                <w:szCs w:val="20"/>
                <w:lang w:val="en-US" w:eastAsia="lt-LT"/>
              </w:rPr>
            </w:pPr>
            <w:r w:rsidRPr="008B1593">
              <w:rPr>
                <w:sz w:val="20"/>
                <w:szCs w:val="20"/>
                <w:lang w:val="en-US" w:eastAsia="lt-LT"/>
              </w:rPr>
              <w:t>&lt;...&gt;</w:t>
            </w:r>
          </w:p>
          <w:p w14:paraId="64CC830B" w14:textId="77777777" w:rsidR="00542633" w:rsidRPr="008B1593" w:rsidRDefault="00542633" w:rsidP="00827BED">
            <w:pPr>
              <w:tabs>
                <w:tab w:val="left" w:pos="851"/>
              </w:tabs>
              <w:suppressAutoHyphens/>
              <w:jc w:val="both"/>
              <w:textAlignment w:val="baseline"/>
              <w:rPr>
                <w:sz w:val="20"/>
                <w:szCs w:val="20"/>
                <w:lang w:val="en-US" w:eastAsia="lt-LT"/>
              </w:rPr>
            </w:pPr>
            <w:r w:rsidRPr="008B1593">
              <w:rPr>
                <w:sz w:val="20"/>
                <w:szCs w:val="20"/>
                <w:lang w:val="en-US" w:eastAsia="lt-LT"/>
              </w:rPr>
              <w:t>c) daily product not earlier than nine (9) days before the gas month including respective gas day and not later than D-1 15:00 EE(S)T.</w:t>
            </w:r>
          </w:p>
        </w:tc>
        <w:tc>
          <w:tcPr>
            <w:tcW w:w="6521" w:type="dxa"/>
          </w:tcPr>
          <w:p w14:paraId="14CC1CAF" w14:textId="1ACA42FC" w:rsidR="00542633" w:rsidRPr="008B1593" w:rsidRDefault="00B83638" w:rsidP="000C639F">
            <w:pPr>
              <w:tabs>
                <w:tab w:val="left" w:pos="1276"/>
              </w:tabs>
              <w:suppressAutoHyphens/>
              <w:ind w:left="34"/>
              <w:jc w:val="both"/>
              <w:textAlignment w:val="baseline"/>
              <w:rPr>
                <w:bCs/>
                <w:kern w:val="32"/>
                <w:sz w:val="20"/>
                <w:szCs w:val="20"/>
                <w:lang w:val="en-US" w:eastAsia="lt-LT"/>
              </w:rPr>
            </w:pPr>
            <w:r>
              <w:rPr>
                <w:b/>
                <w:sz w:val="20"/>
                <w:szCs w:val="20"/>
                <w:lang w:val="en-US"/>
              </w:rPr>
              <w:t>Stakeholder 1</w:t>
            </w:r>
            <w:r w:rsidR="00542633">
              <w:rPr>
                <w:b/>
                <w:lang w:val="en-US"/>
              </w:rPr>
              <w:t>:</w:t>
            </w:r>
            <w:r w:rsidR="00542633" w:rsidRPr="008B1593">
              <w:rPr>
                <w:b/>
                <w:sz w:val="20"/>
                <w:szCs w:val="20"/>
                <w:lang w:val="en-US"/>
              </w:rPr>
              <w:t xml:space="preserve"> </w:t>
            </w:r>
            <w:r w:rsidR="00542633" w:rsidRPr="008B1593">
              <w:rPr>
                <w:sz w:val="20"/>
                <w:szCs w:val="20"/>
                <w:lang w:val="en-US"/>
              </w:rPr>
              <w:t>These Rules offer less flexible provisions than current Amber Grid rules, 9 days vs 14 days. We propose to harmoni</w:t>
            </w:r>
            <w:r w:rsidR="000C639F">
              <w:rPr>
                <w:sz w:val="20"/>
                <w:szCs w:val="20"/>
                <w:lang w:val="en-US"/>
              </w:rPr>
              <w:t>z</w:t>
            </w:r>
            <w:r w:rsidR="00542633" w:rsidRPr="008B1593">
              <w:rPr>
                <w:sz w:val="20"/>
                <w:szCs w:val="20"/>
                <w:lang w:val="en-US"/>
              </w:rPr>
              <w:t xml:space="preserve">e deadlines. Also, please adjust editorial error </w:t>
            </w:r>
            <w:r w:rsidR="00542633" w:rsidRPr="008B1593">
              <w:rPr>
                <w:bCs/>
                <w:kern w:val="32"/>
                <w:sz w:val="20"/>
                <w:szCs w:val="20"/>
                <w:lang w:val="en-US" w:eastAsia="lt-LT"/>
              </w:rPr>
              <w:t>–</w:t>
            </w:r>
            <w:r w:rsidR="00542633" w:rsidRPr="008B1593">
              <w:rPr>
                <w:sz w:val="20"/>
                <w:szCs w:val="20"/>
                <w:lang w:val="en-US"/>
              </w:rPr>
              <w:t xml:space="preserve"> not daily product but day-ahead product</w:t>
            </w:r>
          </w:p>
        </w:tc>
        <w:tc>
          <w:tcPr>
            <w:tcW w:w="6343" w:type="dxa"/>
          </w:tcPr>
          <w:p w14:paraId="75751753" w14:textId="77777777" w:rsidR="00542633" w:rsidRPr="00EF5298" w:rsidRDefault="00542633" w:rsidP="00F32366">
            <w:pPr>
              <w:tabs>
                <w:tab w:val="left" w:pos="1276"/>
              </w:tabs>
              <w:suppressAutoHyphens/>
              <w:ind w:left="34"/>
              <w:jc w:val="both"/>
              <w:textAlignment w:val="baseline"/>
              <w:rPr>
                <w:sz w:val="20"/>
                <w:szCs w:val="20"/>
                <w:lang w:val="en-US"/>
              </w:rPr>
            </w:pPr>
            <w:r w:rsidRPr="00EF5298">
              <w:rPr>
                <w:sz w:val="20"/>
                <w:szCs w:val="20"/>
                <w:lang w:val="en-US"/>
              </w:rPr>
              <w:t xml:space="preserve">Proposal </w:t>
            </w:r>
            <w:r>
              <w:rPr>
                <w:sz w:val="20"/>
                <w:szCs w:val="20"/>
                <w:lang w:val="en-US"/>
              </w:rPr>
              <w:t>taken into account</w:t>
            </w:r>
            <w:r w:rsidRPr="00EF5298">
              <w:rPr>
                <w:sz w:val="20"/>
                <w:szCs w:val="20"/>
                <w:lang w:val="en-US"/>
              </w:rPr>
              <w:t>.</w:t>
            </w:r>
          </w:p>
        </w:tc>
      </w:tr>
      <w:tr w:rsidR="00542633" w:rsidRPr="008B1593" w14:paraId="5210FFE7" w14:textId="77777777" w:rsidTr="00795AD6">
        <w:trPr>
          <w:trHeight w:val="659"/>
        </w:trPr>
        <w:tc>
          <w:tcPr>
            <w:tcW w:w="2830" w:type="dxa"/>
          </w:tcPr>
          <w:p w14:paraId="12E78C10" w14:textId="77777777" w:rsidR="00542633" w:rsidRPr="008B1593" w:rsidRDefault="00542633" w:rsidP="00827BED">
            <w:pPr>
              <w:tabs>
                <w:tab w:val="left" w:pos="851"/>
              </w:tabs>
              <w:suppressAutoHyphens/>
              <w:jc w:val="both"/>
              <w:textAlignment w:val="baseline"/>
              <w:rPr>
                <w:sz w:val="20"/>
                <w:szCs w:val="20"/>
                <w:lang w:val="en-US" w:eastAsia="lt-LT"/>
              </w:rPr>
            </w:pPr>
            <w:r w:rsidRPr="008B1593">
              <w:rPr>
                <w:sz w:val="20"/>
                <w:szCs w:val="20"/>
                <w:lang w:val="en-US" w:eastAsia="lt-LT"/>
              </w:rPr>
              <w:t>&lt;...&gt;</w:t>
            </w:r>
          </w:p>
          <w:p w14:paraId="57F50DB7" w14:textId="77777777" w:rsidR="00542633" w:rsidRPr="008B1593" w:rsidRDefault="00542633" w:rsidP="00827BED">
            <w:pPr>
              <w:tabs>
                <w:tab w:val="left" w:pos="851"/>
              </w:tabs>
              <w:suppressAutoHyphens/>
              <w:jc w:val="both"/>
              <w:textAlignment w:val="baseline"/>
              <w:rPr>
                <w:sz w:val="20"/>
                <w:szCs w:val="20"/>
                <w:lang w:val="en-US" w:eastAsia="lt-LT"/>
              </w:rPr>
            </w:pPr>
            <w:r w:rsidRPr="008B1593">
              <w:rPr>
                <w:sz w:val="20"/>
                <w:szCs w:val="20"/>
                <w:lang w:val="en-US" w:eastAsia="lt-LT"/>
              </w:rPr>
              <w:t>d) daily capacity product may be booked by submitting nomination as set in section 6 of these standard terms and conditions.</w:t>
            </w:r>
          </w:p>
        </w:tc>
        <w:tc>
          <w:tcPr>
            <w:tcW w:w="6521" w:type="dxa"/>
          </w:tcPr>
          <w:p w14:paraId="6F1BFF64" w14:textId="1993DDE0" w:rsidR="00542633" w:rsidRPr="008B1593" w:rsidRDefault="00B83638" w:rsidP="00827BED">
            <w:pPr>
              <w:ind w:left="34"/>
              <w:contextualSpacing/>
              <w:jc w:val="both"/>
              <w:rPr>
                <w:sz w:val="20"/>
                <w:szCs w:val="20"/>
                <w:lang w:val="en-US"/>
              </w:rPr>
            </w:pPr>
            <w:r>
              <w:rPr>
                <w:b/>
                <w:sz w:val="20"/>
                <w:szCs w:val="20"/>
                <w:lang w:val="en-US"/>
              </w:rPr>
              <w:t>Stakeholder 1</w:t>
            </w:r>
            <w:r w:rsidR="00542633">
              <w:rPr>
                <w:b/>
                <w:lang w:val="en-US"/>
              </w:rPr>
              <w:t>:</w:t>
            </w:r>
            <w:r w:rsidR="00542633" w:rsidRPr="008B1593">
              <w:rPr>
                <w:b/>
                <w:sz w:val="20"/>
                <w:szCs w:val="20"/>
                <w:lang w:val="en-US"/>
              </w:rPr>
              <w:t xml:space="preserve"> </w:t>
            </w:r>
            <w:r w:rsidR="00542633" w:rsidRPr="008B1593">
              <w:rPr>
                <w:bCs/>
                <w:kern w:val="32"/>
                <w:sz w:val="20"/>
                <w:szCs w:val="20"/>
                <w:lang w:val="en-US" w:eastAsia="lt-LT"/>
              </w:rPr>
              <w:t>There is no clear separation what are the properties of this product – is it a day-ahead of within-day product and Rules does not provide a clear mechanism how invoices would be provided for network users when they are using nominations both for daily capacity product (one tariff) and for within-day capacity product (the other tariff) because tariffs for these products could be different.</w:t>
            </w:r>
          </w:p>
        </w:tc>
        <w:tc>
          <w:tcPr>
            <w:tcW w:w="6343" w:type="dxa"/>
          </w:tcPr>
          <w:p w14:paraId="20219E55" w14:textId="77777777" w:rsidR="00542633" w:rsidRPr="00EF5298" w:rsidRDefault="00542633" w:rsidP="00827BED">
            <w:pPr>
              <w:ind w:left="34"/>
              <w:contextualSpacing/>
              <w:jc w:val="both"/>
              <w:rPr>
                <w:bCs/>
                <w:kern w:val="32"/>
                <w:sz w:val="20"/>
                <w:szCs w:val="20"/>
                <w:lang w:val="en-US" w:eastAsia="lt-LT"/>
              </w:rPr>
            </w:pPr>
            <w:r>
              <w:rPr>
                <w:bCs/>
                <w:kern w:val="32"/>
                <w:sz w:val="20"/>
                <w:szCs w:val="20"/>
                <w:lang w:val="en-US" w:eastAsia="lt-LT"/>
              </w:rPr>
              <w:t>Proposal taken into account</w:t>
            </w:r>
            <w:r w:rsidRPr="00EF5298">
              <w:rPr>
                <w:bCs/>
                <w:kern w:val="32"/>
                <w:sz w:val="20"/>
                <w:szCs w:val="20"/>
                <w:lang w:val="en-US" w:eastAsia="lt-LT"/>
              </w:rPr>
              <w:t xml:space="preserve">. </w:t>
            </w:r>
          </w:p>
          <w:p w14:paraId="44C3F839" w14:textId="77777777" w:rsidR="00542633" w:rsidRPr="00EF5298" w:rsidRDefault="00542633" w:rsidP="00827BED">
            <w:pPr>
              <w:ind w:left="34"/>
              <w:contextualSpacing/>
              <w:jc w:val="both"/>
              <w:rPr>
                <w:bCs/>
                <w:kern w:val="32"/>
                <w:sz w:val="20"/>
                <w:szCs w:val="20"/>
                <w:lang w:val="en-US" w:eastAsia="lt-LT"/>
              </w:rPr>
            </w:pPr>
            <w:r w:rsidRPr="00EF5298">
              <w:rPr>
                <w:bCs/>
                <w:kern w:val="32"/>
                <w:sz w:val="20"/>
                <w:szCs w:val="20"/>
                <w:lang w:val="en-US" w:eastAsia="lt-LT"/>
              </w:rPr>
              <w:t>Although TSOs would like to point out that, daily product currently offered by TSOs of Baltic States has different qualities, most notable being flexible booking time in contrast to day- ahead booking of  day-ahead product.</w:t>
            </w:r>
          </w:p>
        </w:tc>
      </w:tr>
      <w:tr w:rsidR="00542633" w:rsidRPr="008B1593" w14:paraId="7C0C2837" w14:textId="77777777" w:rsidTr="00795AD6">
        <w:trPr>
          <w:trHeight w:val="659"/>
        </w:trPr>
        <w:tc>
          <w:tcPr>
            <w:tcW w:w="2830" w:type="dxa"/>
          </w:tcPr>
          <w:p w14:paraId="71361F06" w14:textId="77777777" w:rsidR="00542633" w:rsidRPr="008B1593" w:rsidRDefault="00542633" w:rsidP="00827BED">
            <w:pPr>
              <w:tabs>
                <w:tab w:val="left" w:pos="851"/>
              </w:tabs>
              <w:suppressAutoHyphens/>
              <w:jc w:val="both"/>
              <w:textAlignment w:val="baseline"/>
              <w:rPr>
                <w:sz w:val="20"/>
                <w:szCs w:val="20"/>
                <w:lang w:val="en-US" w:eastAsia="lt-LT"/>
              </w:rPr>
            </w:pPr>
            <w:r w:rsidRPr="008B1593">
              <w:rPr>
                <w:sz w:val="20"/>
                <w:szCs w:val="20"/>
                <w:lang w:val="en-US" w:eastAsia="lt-LT"/>
              </w:rPr>
              <w:t>&lt;...&gt;</w:t>
            </w:r>
          </w:p>
        </w:tc>
        <w:tc>
          <w:tcPr>
            <w:tcW w:w="6521" w:type="dxa"/>
          </w:tcPr>
          <w:p w14:paraId="44512EC7" w14:textId="7D49DF5C" w:rsidR="00542633" w:rsidRPr="008B1593" w:rsidRDefault="00B83638" w:rsidP="00827BED">
            <w:pPr>
              <w:ind w:left="34"/>
              <w:contextualSpacing/>
              <w:jc w:val="both"/>
              <w:rPr>
                <w:sz w:val="20"/>
                <w:szCs w:val="20"/>
                <w:lang w:val="en-US"/>
              </w:rPr>
            </w:pPr>
            <w:r>
              <w:rPr>
                <w:b/>
                <w:sz w:val="20"/>
                <w:szCs w:val="20"/>
                <w:lang w:val="en-US"/>
              </w:rPr>
              <w:t>Stakeholder 1</w:t>
            </w:r>
            <w:r w:rsidR="00542633">
              <w:rPr>
                <w:b/>
                <w:lang w:val="en-US"/>
              </w:rPr>
              <w:t>:</w:t>
            </w:r>
            <w:r w:rsidR="00542633" w:rsidRPr="008B1593">
              <w:rPr>
                <w:b/>
                <w:sz w:val="20"/>
                <w:szCs w:val="20"/>
                <w:lang w:val="en-US"/>
              </w:rPr>
              <w:t xml:space="preserve"> </w:t>
            </w:r>
            <w:r w:rsidR="00542633" w:rsidRPr="008B1593">
              <w:rPr>
                <w:sz w:val="20"/>
                <w:szCs w:val="20"/>
                <w:lang w:val="en-US"/>
              </w:rPr>
              <w:t>Same comments as to the paragraph 4.7.6.3.</w:t>
            </w:r>
          </w:p>
        </w:tc>
        <w:tc>
          <w:tcPr>
            <w:tcW w:w="6343" w:type="dxa"/>
          </w:tcPr>
          <w:p w14:paraId="797C5D09" w14:textId="77777777" w:rsidR="00542633" w:rsidRPr="00EF5298" w:rsidRDefault="00542633" w:rsidP="00827BED">
            <w:pPr>
              <w:ind w:left="34"/>
              <w:contextualSpacing/>
              <w:jc w:val="both"/>
              <w:rPr>
                <w:sz w:val="20"/>
                <w:szCs w:val="20"/>
                <w:lang w:val="en-US"/>
              </w:rPr>
            </w:pPr>
            <w:r w:rsidRPr="00EF5298">
              <w:rPr>
                <w:sz w:val="20"/>
                <w:szCs w:val="20"/>
                <w:lang w:val="en-US"/>
              </w:rPr>
              <w:t xml:space="preserve">Proposal not taken into account. </w:t>
            </w:r>
          </w:p>
          <w:p w14:paraId="330A0CD2" w14:textId="77777777" w:rsidR="00542633" w:rsidRPr="00EF5298" w:rsidRDefault="00542633" w:rsidP="00827BED">
            <w:pPr>
              <w:ind w:left="34"/>
              <w:contextualSpacing/>
              <w:jc w:val="both"/>
              <w:rPr>
                <w:sz w:val="20"/>
                <w:szCs w:val="20"/>
                <w:lang w:val="en-US"/>
              </w:rPr>
            </w:pPr>
            <w:r w:rsidRPr="00EF5298">
              <w:rPr>
                <w:sz w:val="20"/>
                <w:szCs w:val="20"/>
                <w:lang w:val="en-US"/>
              </w:rPr>
              <w:t>Booking of interruptible capacity integrated in firm capacity booking imposes risk of selling unwanted product by network user. In TSOs opinion it is better to leave booking of interruptible capacity as separate process initiated by network user decision as interruptible and firm product differ by their qualities. If pro rata principle is implemented extended booking deadlines are not in favor to network users, as dividing by pro rata would be possible only after the conclusion of booking deadline. As TSOs agreed to increase booking deadlines and congestions are not observed, pro rata principle will not be applied until observation of congestions.</w:t>
            </w:r>
          </w:p>
        </w:tc>
      </w:tr>
      <w:tr w:rsidR="00542633" w:rsidRPr="008B1593" w14:paraId="00433A09" w14:textId="77777777" w:rsidTr="00795AD6">
        <w:trPr>
          <w:trHeight w:val="659"/>
        </w:trPr>
        <w:tc>
          <w:tcPr>
            <w:tcW w:w="2830" w:type="dxa"/>
          </w:tcPr>
          <w:p w14:paraId="796FB924" w14:textId="77777777" w:rsidR="00542633" w:rsidRPr="008B1593" w:rsidRDefault="00542633" w:rsidP="00827BED">
            <w:pPr>
              <w:tabs>
                <w:tab w:val="left" w:pos="851"/>
              </w:tabs>
              <w:suppressAutoHyphens/>
              <w:jc w:val="both"/>
              <w:textAlignment w:val="baseline"/>
              <w:rPr>
                <w:sz w:val="20"/>
                <w:szCs w:val="20"/>
                <w:lang w:val="en-US" w:eastAsia="lt-LT"/>
              </w:rPr>
            </w:pPr>
            <w:r w:rsidRPr="008B1593">
              <w:rPr>
                <w:sz w:val="20"/>
                <w:szCs w:val="20"/>
                <w:lang w:val="en-US" w:eastAsia="lt-LT"/>
              </w:rPr>
              <w:t>4.7.8. Interruptible capacity</w:t>
            </w:r>
          </w:p>
        </w:tc>
        <w:tc>
          <w:tcPr>
            <w:tcW w:w="6521" w:type="dxa"/>
          </w:tcPr>
          <w:p w14:paraId="4E1EA153" w14:textId="390DD437" w:rsidR="00542633" w:rsidRPr="008B1593" w:rsidRDefault="00B83638" w:rsidP="00827BED">
            <w:pPr>
              <w:ind w:left="34"/>
              <w:contextualSpacing/>
              <w:jc w:val="both"/>
              <w:rPr>
                <w:sz w:val="20"/>
                <w:szCs w:val="20"/>
                <w:lang w:val="en-US"/>
              </w:rPr>
            </w:pPr>
            <w:r>
              <w:rPr>
                <w:b/>
                <w:sz w:val="20"/>
                <w:szCs w:val="20"/>
                <w:lang w:val="en-US"/>
              </w:rPr>
              <w:t>Stakeholder 1</w:t>
            </w:r>
            <w:r w:rsidR="00542633">
              <w:rPr>
                <w:b/>
                <w:lang w:val="en-US"/>
              </w:rPr>
              <w:t>:</w:t>
            </w:r>
            <w:r w:rsidR="00542633" w:rsidRPr="008B1593">
              <w:rPr>
                <w:b/>
                <w:sz w:val="20"/>
                <w:szCs w:val="20"/>
                <w:lang w:val="en-US"/>
              </w:rPr>
              <w:t xml:space="preserve"> </w:t>
            </w:r>
            <w:r w:rsidR="00542633" w:rsidRPr="008B1593">
              <w:rPr>
                <w:sz w:val="20"/>
                <w:szCs w:val="20"/>
                <w:lang w:val="en-US"/>
              </w:rPr>
              <w:t>Gas Regulation Art. 14:</w:t>
            </w:r>
          </w:p>
          <w:p w14:paraId="081FC1C0" w14:textId="77777777" w:rsidR="00542633" w:rsidRPr="008B1593" w:rsidRDefault="00542633" w:rsidP="00827BED">
            <w:pPr>
              <w:ind w:left="34"/>
              <w:contextualSpacing/>
              <w:jc w:val="both"/>
              <w:rPr>
                <w:i/>
                <w:sz w:val="20"/>
                <w:szCs w:val="20"/>
                <w:lang w:val="en-US"/>
              </w:rPr>
            </w:pPr>
            <w:r w:rsidRPr="008B1593">
              <w:rPr>
                <w:sz w:val="20"/>
                <w:szCs w:val="20"/>
                <w:lang w:val="en-US"/>
              </w:rPr>
              <w:t>„</w:t>
            </w:r>
            <w:r w:rsidRPr="008B1593">
              <w:rPr>
                <w:i/>
                <w:sz w:val="20"/>
                <w:szCs w:val="20"/>
                <w:lang w:val="en-US"/>
              </w:rPr>
              <w:t>1. Transmission system operators shall:</w:t>
            </w:r>
          </w:p>
          <w:p w14:paraId="45589900" w14:textId="77777777" w:rsidR="00542633" w:rsidRPr="008B1593" w:rsidRDefault="00542633" w:rsidP="00827BED">
            <w:pPr>
              <w:ind w:left="34"/>
              <w:contextualSpacing/>
              <w:jc w:val="both"/>
              <w:rPr>
                <w:sz w:val="20"/>
                <w:szCs w:val="20"/>
                <w:lang w:val="en-US"/>
              </w:rPr>
            </w:pPr>
            <w:r w:rsidRPr="008B1593">
              <w:rPr>
                <w:i/>
                <w:sz w:val="20"/>
                <w:szCs w:val="20"/>
                <w:lang w:val="en-US"/>
              </w:rPr>
              <w:lastRenderedPageBreak/>
              <w:t xml:space="preserve">&lt;...&gt; (b) provide both firm and interruptible third-party access services. </w:t>
            </w:r>
            <w:r w:rsidRPr="008B1593">
              <w:rPr>
                <w:b/>
                <w:i/>
                <w:sz w:val="20"/>
                <w:szCs w:val="20"/>
                <w:lang w:val="en-US"/>
              </w:rPr>
              <w:t>The price of interruptible capacity shall reflect the probability of interruption</w:t>
            </w:r>
            <w:r w:rsidRPr="008B1593">
              <w:rPr>
                <w:sz w:val="20"/>
                <w:szCs w:val="20"/>
                <w:lang w:val="en-US"/>
              </w:rPr>
              <w:t>“;</w:t>
            </w:r>
          </w:p>
          <w:p w14:paraId="72F25BF4" w14:textId="77777777" w:rsidR="00542633" w:rsidRPr="008B1593" w:rsidRDefault="00542633" w:rsidP="00827BED">
            <w:pPr>
              <w:ind w:left="34"/>
              <w:contextualSpacing/>
              <w:jc w:val="both"/>
              <w:rPr>
                <w:sz w:val="20"/>
                <w:szCs w:val="20"/>
                <w:lang w:val="en-US"/>
              </w:rPr>
            </w:pPr>
          </w:p>
          <w:p w14:paraId="56BEA05E" w14:textId="77777777" w:rsidR="00542633" w:rsidRPr="008B1593" w:rsidRDefault="00542633" w:rsidP="00827BED">
            <w:pPr>
              <w:ind w:left="34"/>
              <w:contextualSpacing/>
              <w:jc w:val="both"/>
              <w:rPr>
                <w:sz w:val="20"/>
                <w:szCs w:val="20"/>
                <w:lang w:val="en-US"/>
              </w:rPr>
            </w:pPr>
            <w:r w:rsidRPr="008B1593">
              <w:rPr>
                <w:sz w:val="20"/>
                <w:szCs w:val="20"/>
                <w:lang w:val="en-US"/>
              </w:rPr>
              <w:t xml:space="preserve">Rules does not foreseen provisions regarding pricing of interruptible capacity. </w:t>
            </w:r>
            <w:r w:rsidRPr="008B1593">
              <w:rPr>
                <w:sz w:val="20"/>
                <w:szCs w:val="20"/>
                <w:lang w:val="en-US" w:eastAsia="lt-LT"/>
              </w:rPr>
              <w:t>We ask to amend respective paragraph.</w:t>
            </w:r>
          </w:p>
        </w:tc>
        <w:tc>
          <w:tcPr>
            <w:tcW w:w="6343" w:type="dxa"/>
          </w:tcPr>
          <w:p w14:paraId="6A1B1262" w14:textId="77777777" w:rsidR="00542633" w:rsidRPr="00EF5298" w:rsidRDefault="00542633" w:rsidP="00827BED">
            <w:pPr>
              <w:ind w:left="34"/>
              <w:contextualSpacing/>
              <w:jc w:val="both"/>
              <w:rPr>
                <w:sz w:val="20"/>
                <w:szCs w:val="20"/>
                <w:lang w:val="en-US"/>
              </w:rPr>
            </w:pPr>
            <w:r w:rsidRPr="00EF5298">
              <w:rPr>
                <w:sz w:val="20"/>
                <w:szCs w:val="20"/>
                <w:lang w:val="en-US"/>
              </w:rPr>
              <w:lastRenderedPageBreak/>
              <w:t xml:space="preserve">Proposal not taken into account. </w:t>
            </w:r>
          </w:p>
          <w:p w14:paraId="2B9D2A72" w14:textId="77777777" w:rsidR="00542633" w:rsidRPr="00EF5298" w:rsidRDefault="00542633" w:rsidP="00827BED">
            <w:pPr>
              <w:ind w:left="34"/>
              <w:contextualSpacing/>
              <w:jc w:val="both"/>
              <w:rPr>
                <w:sz w:val="20"/>
                <w:szCs w:val="20"/>
                <w:lang w:val="en-US"/>
              </w:rPr>
            </w:pPr>
            <w:r w:rsidRPr="00EF5298">
              <w:rPr>
                <w:sz w:val="20"/>
                <w:szCs w:val="20"/>
                <w:lang w:val="en-US"/>
              </w:rPr>
              <w:lastRenderedPageBreak/>
              <w:t>Pricing of capacity products is not subject of Network Rules</w:t>
            </w:r>
            <w:r>
              <w:rPr>
                <w:sz w:val="20"/>
                <w:szCs w:val="20"/>
                <w:lang w:val="en-US"/>
              </w:rPr>
              <w:t xml:space="preserve"> and is subject to the national tariff setting process of each TSO</w:t>
            </w:r>
            <w:r w:rsidRPr="00EF5298">
              <w:rPr>
                <w:sz w:val="20"/>
                <w:szCs w:val="20"/>
                <w:lang w:val="en-US"/>
              </w:rPr>
              <w:t xml:space="preserve">. </w:t>
            </w:r>
          </w:p>
        </w:tc>
      </w:tr>
      <w:tr w:rsidR="00542633" w:rsidRPr="008B1593" w14:paraId="38CD2B86" w14:textId="77777777" w:rsidTr="00795AD6">
        <w:trPr>
          <w:trHeight w:val="659"/>
        </w:trPr>
        <w:tc>
          <w:tcPr>
            <w:tcW w:w="2830" w:type="dxa"/>
          </w:tcPr>
          <w:p w14:paraId="2E16130F" w14:textId="77777777" w:rsidR="00542633" w:rsidRPr="008B1593" w:rsidRDefault="00542633" w:rsidP="00827BED">
            <w:pPr>
              <w:tabs>
                <w:tab w:val="left" w:pos="851"/>
              </w:tabs>
              <w:suppressAutoHyphens/>
              <w:jc w:val="both"/>
              <w:textAlignment w:val="baseline"/>
              <w:rPr>
                <w:b/>
                <w:sz w:val="20"/>
                <w:szCs w:val="20"/>
                <w:lang w:val="en-US" w:eastAsia="lt-LT"/>
              </w:rPr>
            </w:pPr>
            <w:r w:rsidRPr="008B1593">
              <w:rPr>
                <w:sz w:val="20"/>
                <w:szCs w:val="20"/>
                <w:lang w:val="en-US" w:eastAsia="lt-LT"/>
              </w:rPr>
              <w:lastRenderedPageBreak/>
              <w:t>4.7.8.3. If the TSO finds necessary to interrupt the provision of interruptible capacity products to the network users to the extent required for the provision of firm capacity, it shall do so by first interrupting the capacity for the network users who were the last to book interruptible capacity.</w:t>
            </w:r>
          </w:p>
        </w:tc>
        <w:tc>
          <w:tcPr>
            <w:tcW w:w="6521" w:type="dxa"/>
          </w:tcPr>
          <w:p w14:paraId="1FE5EB3D" w14:textId="3FB64370" w:rsidR="00542633" w:rsidRPr="008B1593" w:rsidRDefault="00B83638" w:rsidP="00827BED">
            <w:pPr>
              <w:ind w:left="34"/>
              <w:contextualSpacing/>
              <w:jc w:val="both"/>
              <w:rPr>
                <w:sz w:val="20"/>
                <w:szCs w:val="20"/>
                <w:lang w:val="en-US"/>
              </w:rPr>
            </w:pPr>
            <w:r>
              <w:rPr>
                <w:b/>
                <w:sz w:val="20"/>
                <w:szCs w:val="20"/>
                <w:lang w:val="en-US"/>
              </w:rPr>
              <w:t>Stakeholder 1</w:t>
            </w:r>
            <w:r w:rsidR="00542633">
              <w:rPr>
                <w:b/>
                <w:lang w:val="en-US"/>
              </w:rPr>
              <w:t>:</w:t>
            </w:r>
            <w:r w:rsidR="00542633" w:rsidRPr="008B1593">
              <w:rPr>
                <w:b/>
                <w:sz w:val="20"/>
                <w:szCs w:val="20"/>
                <w:lang w:val="en-US"/>
              </w:rPr>
              <w:t xml:space="preserve"> </w:t>
            </w:r>
            <w:r w:rsidR="00542633" w:rsidRPr="008B1593">
              <w:rPr>
                <w:sz w:val="20"/>
                <w:szCs w:val="20"/>
                <w:lang w:val="en-US"/>
              </w:rPr>
              <w:t>Interruptible capacity at IPs shall be allocated via an auction process as defined in the CAM NC Art. 32 (5), thus pro rata and FCFS principle cannot be used in this case.</w:t>
            </w:r>
          </w:p>
          <w:p w14:paraId="527E3B48" w14:textId="77777777" w:rsidR="00542633" w:rsidRPr="008B1593" w:rsidRDefault="00542633" w:rsidP="00827BED">
            <w:pPr>
              <w:ind w:left="34"/>
              <w:contextualSpacing/>
              <w:jc w:val="both"/>
              <w:rPr>
                <w:sz w:val="20"/>
                <w:szCs w:val="20"/>
                <w:lang w:val="en-US"/>
              </w:rPr>
            </w:pPr>
            <w:r w:rsidRPr="008B1593">
              <w:rPr>
                <w:sz w:val="20"/>
                <w:szCs w:val="20"/>
                <w:lang w:val="en-US"/>
              </w:rPr>
              <w:t xml:space="preserve">Also, this document does not provide provisions regarding the implementation of CAM NC Art. 32–36. </w:t>
            </w:r>
            <w:r w:rsidRPr="008B1593">
              <w:rPr>
                <w:sz w:val="20"/>
                <w:szCs w:val="20"/>
                <w:lang w:val="en-US" w:eastAsia="lt-LT"/>
              </w:rPr>
              <w:t xml:space="preserve"> We ask to amend the Rules respectively.</w:t>
            </w:r>
          </w:p>
          <w:p w14:paraId="4FB514DE" w14:textId="77777777" w:rsidR="00542633" w:rsidRPr="008B1593" w:rsidRDefault="00542633" w:rsidP="00827BED">
            <w:pPr>
              <w:ind w:left="34"/>
              <w:contextualSpacing/>
              <w:jc w:val="both"/>
              <w:rPr>
                <w:sz w:val="20"/>
                <w:szCs w:val="20"/>
                <w:lang w:val="en-US"/>
              </w:rPr>
            </w:pPr>
          </w:p>
          <w:p w14:paraId="70EE6F13" w14:textId="77777777" w:rsidR="00542633" w:rsidRPr="008B1593" w:rsidRDefault="00542633" w:rsidP="00827BED">
            <w:pPr>
              <w:ind w:left="34"/>
              <w:contextualSpacing/>
              <w:jc w:val="both"/>
              <w:rPr>
                <w:sz w:val="20"/>
                <w:szCs w:val="20"/>
                <w:lang w:val="en-US"/>
              </w:rPr>
            </w:pPr>
            <w:r w:rsidRPr="008B1593">
              <w:rPr>
                <w:sz w:val="20"/>
                <w:szCs w:val="20"/>
                <w:lang w:val="en-US"/>
              </w:rPr>
              <w:t>Regarding other entry-exit points than IPs, firstly pro rata principle should be applied as a more fair principle, than FCFS principle. See more info on Amber Grid rules paragraph 47.4.</w:t>
            </w:r>
          </w:p>
        </w:tc>
        <w:tc>
          <w:tcPr>
            <w:tcW w:w="6343" w:type="dxa"/>
          </w:tcPr>
          <w:p w14:paraId="0628115C" w14:textId="77777777" w:rsidR="00542633" w:rsidRPr="00EF5298" w:rsidRDefault="00542633" w:rsidP="00F35608">
            <w:pPr>
              <w:ind w:left="34"/>
              <w:contextualSpacing/>
              <w:jc w:val="both"/>
              <w:rPr>
                <w:sz w:val="20"/>
                <w:szCs w:val="20"/>
              </w:rPr>
            </w:pPr>
            <w:r w:rsidRPr="00EF5298">
              <w:rPr>
                <w:sz w:val="20"/>
                <w:szCs w:val="20"/>
              </w:rPr>
              <w:t xml:space="preserve">Proposal not taken into account. </w:t>
            </w:r>
          </w:p>
          <w:p w14:paraId="4A2EA7CD" w14:textId="77777777" w:rsidR="00542633" w:rsidRPr="00EF5298" w:rsidRDefault="00542633" w:rsidP="00EF5298">
            <w:pPr>
              <w:ind w:left="34"/>
              <w:contextualSpacing/>
              <w:jc w:val="both"/>
              <w:rPr>
                <w:sz w:val="20"/>
                <w:szCs w:val="20"/>
                <w:lang w:val="en-US"/>
              </w:rPr>
            </w:pPr>
            <w:r w:rsidRPr="00EF5298">
              <w:rPr>
                <w:sz w:val="20"/>
                <w:szCs w:val="20"/>
              </w:rPr>
              <w:t>Commission Regulation (EU) 2017/459 of 16 March 2017 establishing a network code on capacity allocation mechanisms in gas transmission systems and repealing Regulation (EU) No 984/2013 Article 2(5) states “ Where implicit capacity allocation methods are applied, national regulatory authorities may decide not to apply Articles 8 to 37.”, which means that articles auctioning and 32-36 are not applicable if decided so by national regulatory authorities.</w:t>
            </w:r>
          </w:p>
        </w:tc>
      </w:tr>
      <w:tr w:rsidR="00542633" w:rsidRPr="008B1593" w14:paraId="59CCAEA8" w14:textId="77777777" w:rsidTr="00795AD6">
        <w:trPr>
          <w:trHeight w:val="659"/>
        </w:trPr>
        <w:tc>
          <w:tcPr>
            <w:tcW w:w="2830" w:type="dxa"/>
          </w:tcPr>
          <w:p w14:paraId="320B777E" w14:textId="77777777" w:rsidR="00542633" w:rsidRPr="008B1593" w:rsidRDefault="00542633" w:rsidP="00827BED">
            <w:pPr>
              <w:tabs>
                <w:tab w:val="left" w:pos="851"/>
              </w:tabs>
              <w:suppressAutoHyphens/>
              <w:jc w:val="both"/>
              <w:textAlignment w:val="baseline"/>
              <w:rPr>
                <w:sz w:val="20"/>
                <w:szCs w:val="20"/>
                <w:lang w:val="en-US" w:eastAsia="lt-LT"/>
              </w:rPr>
            </w:pPr>
            <w:r w:rsidRPr="008B1593">
              <w:rPr>
                <w:b/>
                <w:sz w:val="20"/>
                <w:szCs w:val="20"/>
                <w:lang w:val="en-US" w:eastAsia="lt-LT"/>
              </w:rPr>
              <w:t>5. Management of contractual congestion</w:t>
            </w:r>
          </w:p>
        </w:tc>
        <w:tc>
          <w:tcPr>
            <w:tcW w:w="6521" w:type="dxa"/>
          </w:tcPr>
          <w:p w14:paraId="7CF3DF02" w14:textId="6BB97646" w:rsidR="00542633" w:rsidRDefault="00B83638" w:rsidP="00827BED">
            <w:pPr>
              <w:ind w:left="34"/>
              <w:contextualSpacing/>
              <w:jc w:val="both"/>
              <w:rPr>
                <w:sz w:val="20"/>
                <w:szCs w:val="20"/>
                <w:lang w:val="en-US"/>
              </w:rPr>
            </w:pPr>
            <w:r>
              <w:rPr>
                <w:b/>
                <w:sz w:val="20"/>
                <w:szCs w:val="20"/>
                <w:lang w:val="en-US"/>
              </w:rPr>
              <w:t>Stakeholder 1</w:t>
            </w:r>
            <w:r w:rsidR="00542633">
              <w:rPr>
                <w:b/>
                <w:lang w:val="en-US"/>
              </w:rPr>
              <w:t>:</w:t>
            </w:r>
            <w:r w:rsidR="00542633" w:rsidRPr="008B1593">
              <w:rPr>
                <w:b/>
                <w:sz w:val="20"/>
                <w:szCs w:val="20"/>
                <w:lang w:val="en-US"/>
              </w:rPr>
              <w:t xml:space="preserve"> </w:t>
            </w:r>
            <w:r w:rsidR="00542633" w:rsidRPr="008B1593">
              <w:rPr>
                <w:sz w:val="20"/>
                <w:szCs w:val="20"/>
                <w:lang w:val="en-US"/>
              </w:rPr>
              <w:t>It is not clear how planned congestion rules will work in practice. From this document we got an impression that congestion rules will only be valid on paper and that the practical implementation of it into the TSOs platform’s IT algorithms is not planned.</w:t>
            </w:r>
          </w:p>
          <w:p w14:paraId="32BF3F72" w14:textId="23D2F9FE" w:rsidR="00542633" w:rsidRDefault="00B83638" w:rsidP="00827BED">
            <w:pPr>
              <w:ind w:left="34"/>
              <w:contextualSpacing/>
              <w:jc w:val="both"/>
              <w:rPr>
                <w:sz w:val="20"/>
                <w:szCs w:val="20"/>
                <w:lang w:val="en-US"/>
              </w:rPr>
            </w:pPr>
            <w:r>
              <w:rPr>
                <w:b/>
                <w:sz w:val="20"/>
                <w:szCs w:val="20"/>
                <w:lang w:val="en-US"/>
              </w:rPr>
              <w:t>Stakeholder 3</w:t>
            </w:r>
            <w:r w:rsidR="00542633">
              <w:rPr>
                <w:b/>
                <w:sz w:val="20"/>
                <w:szCs w:val="20"/>
                <w:lang w:val="en-US"/>
              </w:rPr>
              <w:t>:</w:t>
            </w:r>
            <w:r w:rsidR="00542633">
              <w:rPr>
                <w:sz w:val="20"/>
                <w:szCs w:val="20"/>
                <w:lang w:val="en-US"/>
              </w:rPr>
              <w:t xml:space="preserve"> </w:t>
            </w:r>
            <w:r w:rsidR="00542633">
              <w:t xml:space="preserve"> </w:t>
            </w:r>
            <w:r w:rsidR="00542633" w:rsidRPr="00C211C1">
              <w:rPr>
                <w:sz w:val="20"/>
                <w:szCs w:val="20"/>
                <w:lang w:val="en-US"/>
              </w:rPr>
              <w:t>The wording of the UIOLI mechanism is a little unclear: will the market participant lose all booked capacity or only unused part?</w:t>
            </w:r>
          </w:p>
          <w:p w14:paraId="6DF1CBA8" w14:textId="2EF5B033" w:rsidR="00542633" w:rsidRDefault="00B83638" w:rsidP="00827BED">
            <w:pPr>
              <w:ind w:left="34"/>
              <w:contextualSpacing/>
              <w:jc w:val="both"/>
              <w:rPr>
                <w:sz w:val="20"/>
                <w:szCs w:val="20"/>
                <w:lang w:val="en-US"/>
              </w:rPr>
            </w:pPr>
            <w:r>
              <w:rPr>
                <w:b/>
                <w:sz w:val="20"/>
                <w:szCs w:val="20"/>
                <w:lang w:val="en-US"/>
              </w:rPr>
              <w:t>Stakeholder 3</w:t>
            </w:r>
            <w:r w:rsidR="00542633">
              <w:rPr>
                <w:b/>
                <w:sz w:val="20"/>
                <w:szCs w:val="20"/>
                <w:lang w:val="en-US"/>
              </w:rPr>
              <w:t xml:space="preserve">: </w:t>
            </w:r>
            <w:r w:rsidR="00542633">
              <w:t xml:space="preserve"> </w:t>
            </w:r>
            <w:r w:rsidR="00542633" w:rsidRPr="00C211C1">
              <w:rPr>
                <w:sz w:val="20"/>
                <w:szCs w:val="20"/>
                <w:lang w:val="en-US"/>
              </w:rPr>
              <w:t>UIOLI benchmark of average usage of 80% is high. We suggest 70%. Also it needs clarification if the TSO will take away all booked capacity in case of UIOLI or only the unused portion of it. We would prefer the second option, where only unused capacity is taken away.</w:t>
            </w:r>
          </w:p>
          <w:p w14:paraId="701EE4AA" w14:textId="0BFB7623" w:rsidR="00542633" w:rsidRPr="008B1593" w:rsidRDefault="00B83638" w:rsidP="00827BED">
            <w:pPr>
              <w:ind w:left="34"/>
              <w:contextualSpacing/>
              <w:jc w:val="both"/>
              <w:rPr>
                <w:sz w:val="20"/>
                <w:szCs w:val="20"/>
                <w:lang w:val="en-US"/>
              </w:rPr>
            </w:pPr>
            <w:r>
              <w:rPr>
                <w:b/>
                <w:sz w:val="20"/>
                <w:szCs w:val="20"/>
                <w:lang w:val="en-US"/>
              </w:rPr>
              <w:t>Stakeholder 3</w:t>
            </w:r>
            <w:r w:rsidR="00542633">
              <w:rPr>
                <w:b/>
                <w:sz w:val="20"/>
                <w:szCs w:val="20"/>
                <w:lang w:val="en-US"/>
              </w:rPr>
              <w:t>:</w:t>
            </w:r>
            <w:r w:rsidR="00542633">
              <w:rPr>
                <w:sz w:val="20"/>
                <w:szCs w:val="20"/>
                <w:lang w:val="en-US"/>
              </w:rPr>
              <w:t xml:space="preserve"> </w:t>
            </w:r>
            <w:r w:rsidR="00542633">
              <w:t xml:space="preserve"> </w:t>
            </w:r>
            <w:r w:rsidR="00542633" w:rsidRPr="00BC6CE3">
              <w:rPr>
                <w:sz w:val="20"/>
                <w:szCs w:val="20"/>
                <w:lang w:val="en-US"/>
              </w:rPr>
              <w:t>We propose to consider creating standardized product for capacity secondary market – to have a platform for trading capacities in the secondary market (in the same way gas exchange works).</w:t>
            </w:r>
          </w:p>
        </w:tc>
        <w:tc>
          <w:tcPr>
            <w:tcW w:w="6343" w:type="dxa"/>
          </w:tcPr>
          <w:p w14:paraId="6C3738AE" w14:textId="77777777" w:rsidR="00542633" w:rsidRPr="00EF5298" w:rsidRDefault="00542633" w:rsidP="00827BED">
            <w:pPr>
              <w:ind w:left="34"/>
              <w:contextualSpacing/>
              <w:jc w:val="both"/>
              <w:rPr>
                <w:sz w:val="20"/>
                <w:szCs w:val="20"/>
                <w:lang w:val="en-US"/>
              </w:rPr>
            </w:pPr>
            <w:r w:rsidRPr="00EF5298">
              <w:rPr>
                <w:sz w:val="20"/>
                <w:szCs w:val="20"/>
                <w:lang w:val="en-US"/>
              </w:rPr>
              <w:t xml:space="preserve">TSOs assure </w:t>
            </w:r>
            <w:r>
              <w:rPr>
                <w:sz w:val="20"/>
                <w:szCs w:val="20"/>
                <w:lang w:val="en-US"/>
              </w:rPr>
              <w:t>that</w:t>
            </w:r>
            <w:r w:rsidRPr="00EF5298">
              <w:rPr>
                <w:sz w:val="20"/>
                <w:szCs w:val="20"/>
                <w:lang w:val="en-US"/>
              </w:rPr>
              <w:t xml:space="preserve"> implementation of </w:t>
            </w:r>
            <w:r>
              <w:rPr>
                <w:sz w:val="20"/>
                <w:szCs w:val="20"/>
                <w:lang w:val="en-US"/>
              </w:rPr>
              <w:t xml:space="preserve">congestion management </w:t>
            </w:r>
            <w:r w:rsidRPr="00EF5298">
              <w:rPr>
                <w:sz w:val="20"/>
                <w:szCs w:val="20"/>
                <w:lang w:val="en-US"/>
              </w:rPr>
              <w:t>algorithms in IT processes and practical application in processes is planned.</w:t>
            </w:r>
          </w:p>
          <w:p w14:paraId="1D864CD8" w14:textId="77777777" w:rsidR="00542633" w:rsidRPr="00EF5298" w:rsidRDefault="00542633" w:rsidP="00827BED">
            <w:pPr>
              <w:ind w:left="34"/>
              <w:contextualSpacing/>
              <w:jc w:val="both"/>
              <w:rPr>
                <w:sz w:val="20"/>
                <w:szCs w:val="20"/>
                <w:lang w:val="en-US"/>
              </w:rPr>
            </w:pPr>
          </w:p>
          <w:p w14:paraId="443EC805" w14:textId="77777777" w:rsidR="00542633" w:rsidRPr="00EF5298" w:rsidRDefault="00542633" w:rsidP="00F35608">
            <w:pPr>
              <w:contextualSpacing/>
              <w:jc w:val="both"/>
              <w:rPr>
                <w:sz w:val="20"/>
                <w:szCs w:val="20"/>
                <w:lang w:val="en-US"/>
              </w:rPr>
            </w:pPr>
          </w:p>
          <w:p w14:paraId="378C4195" w14:textId="77777777" w:rsidR="00542633" w:rsidRPr="00EF5298" w:rsidRDefault="00542633" w:rsidP="00F35608">
            <w:pPr>
              <w:contextualSpacing/>
              <w:jc w:val="both"/>
              <w:rPr>
                <w:sz w:val="20"/>
                <w:szCs w:val="20"/>
                <w:lang w:val="en-US"/>
              </w:rPr>
            </w:pPr>
            <w:r w:rsidRPr="00EF5298">
              <w:rPr>
                <w:sz w:val="20"/>
                <w:szCs w:val="20"/>
                <w:lang w:val="en-US"/>
              </w:rPr>
              <w:t>Network users would lose unused part.</w:t>
            </w:r>
          </w:p>
          <w:p w14:paraId="1ABCBBD6" w14:textId="77777777" w:rsidR="00542633" w:rsidRPr="00EF5298" w:rsidRDefault="00542633" w:rsidP="00827BED">
            <w:pPr>
              <w:ind w:left="34"/>
              <w:contextualSpacing/>
              <w:jc w:val="both"/>
              <w:rPr>
                <w:sz w:val="20"/>
                <w:szCs w:val="20"/>
                <w:lang w:val="en-US"/>
              </w:rPr>
            </w:pPr>
          </w:p>
          <w:p w14:paraId="557EB7E3" w14:textId="77777777" w:rsidR="00542633" w:rsidRPr="00EF5298" w:rsidRDefault="00542633" w:rsidP="00827BED">
            <w:pPr>
              <w:ind w:left="34"/>
              <w:contextualSpacing/>
              <w:jc w:val="both"/>
              <w:rPr>
                <w:sz w:val="20"/>
                <w:szCs w:val="20"/>
                <w:lang w:val="en-US"/>
              </w:rPr>
            </w:pPr>
          </w:p>
          <w:p w14:paraId="796173AD" w14:textId="77777777" w:rsidR="00542633" w:rsidRPr="00EF5298" w:rsidRDefault="00542633" w:rsidP="00827BED">
            <w:pPr>
              <w:ind w:left="34"/>
              <w:contextualSpacing/>
              <w:jc w:val="both"/>
              <w:rPr>
                <w:sz w:val="20"/>
                <w:szCs w:val="20"/>
                <w:lang w:val="en-US"/>
              </w:rPr>
            </w:pPr>
          </w:p>
          <w:p w14:paraId="2A9FA97D" w14:textId="77777777" w:rsidR="00542633" w:rsidRDefault="00542633" w:rsidP="00827BED">
            <w:pPr>
              <w:ind w:left="34"/>
              <w:contextualSpacing/>
              <w:jc w:val="both"/>
              <w:rPr>
                <w:sz w:val="20"/>
                <w:szCs w:val="20"/>
                <w:lang w:val="en-US"/>
              </w:rPr>
            </w:pPr>
            <w:r>
              <w:rPr>
                <w:sz w:val="20"/>
                <w:szCs w:val="20"/>
                <w:lang w:val="en-US"/>
              </w:rPr>
              <w:t>Proposal n</w:t>
            </w:r>
            <w:r w:rsidRPr="00EF5298">
              <w:rPr>
                <w:sz w:val="20"/>
                <w:szCs w:val="20"/>
                <w:lang w:val="en-US"/>
              </w:rPr>
              <w:t xml:space="preserve">ot taken into account. </w:t>
            </w:r>
          </w:p>
          <w:p w14:paraId="4A35DAC7" w14:textId="77777777" w:rsidR="00542633" w:rsidRDefault="00542633" w:rsidP="00827BED">
            <w:pPr>
              <w:ind w:left="34"/>
              <w:contextualSpacing/>
              <w:jc w:val="both"/>
              <w:rPr>
                <w:sz w:val="20"/>
                <w:szCs w:val="20"/>
                <w:lang w:val="en-US"/>
              </w:rPr>
            </w:pPr>
            <w:r w:rsidRPr="00EF5298">
              <w:rPr>
                <w:sz w:val="20"/>
                <w:szCs w:val="20"/>
                <w:lang w:val="en-US"/>
              </w:rPr>
              <w:t xml:space="preserve">“80%” is </w:t>
            </w:r>
            <w:r>
              <w:rPr>
                <w:sz w:val="20"/>
                <w:szCs w:val="20"/>
                <w:lang w:val="en-US"/>
              </w:rPr>
              <w:t xml:space="preserve">a </w:t>
            </w:r>
            <w:r w:rsidRPr="00EF5298">
              <w:rPr>
                <w:sz w:val="20"/>
                <w:szCs w:val="20"/>
                <w:lang w:val="en-US"/>
              </w:rPr>
              <w:t>direct</w:t>
            </w:r>
            <w:r>
              <w:rPr>
                <w:sz w:val="20"/>
                <w:szCs w:val="20"/>
                <w:lang w:val="en-US"/>
              </w:rPr>
              <w:t xml:space="preserve"> reference to the </w:t>
            </w:r>
            <w:r w:rsidRPr="00EF5298">
              <w:rPr>
                <w:sz w:val="20"/>
                <w:szCs w:val="20"/>
                <w:lang w:val="en-US"/>
              </w:rPr>
              <w:t xml:space="preserve">provision </w:t>
            </w:r>
            <w:r>
              <w:rPr>
                <w:sz w:val="20"/>
                <w:szCs w:val="20"/>
                <w:lang w:val="en-US"/>
              </w:rPr>
              <w:t>envisaged in</w:t>
            </w:r>
            <w:r w:rsidRPr="00EF5298">
              <w:rPr>
                <w:sz w:val="20"/>
                <w:szCs w:val="20"/>
                <w:lang w:val="en-US"/>
              </w:rPr>
              <w:t xml:space="preserve"> </w:t>
            </w:r>
            <w:r>
              <w:rPr>
                <w:sz w:val="20"/>
                <w:szCs w:val="20"/>
                <w:lang w:val="en-US"/>
              </w:rPr>
              <w:t xml:space="preserve">the rules on congestion management procedures  described in Article 2.2.5(1)(a) of </w:t>
            </w:r>
            <w:r w:rsidRPr="002A777B">
              <w:rPr>
                <w:sz w:val="20"/>
                <w:szCs w:val="20"/>
                <w:lang w:val="en-US"/>
              </w:rPr>
              <w:t>2012/490/EU: Commission Decision of 24 August 2012 on amending Annex I to Regulation (EC) No 715/2009 of the European Parliament and of the Council on conditions for access to the natural gas transmission networks</w:t>
            </w:r>
          </w:p>
          <w:p w14:paraId="0F16F13E" w14:textId="77777777" w:rsidR="00542633" w:rsidRDefault="00542633" w:rsidP="00827BED">
            <w:pPr>
              <w:ind w:left="34"/>
              <w:contextualSpacing/>
              <w:jc w:val="both"/>
              <w:rPr>
                <w:sz w:val="20"/>
                <w:szCs w:val="20"/>
                <w:lang w:val="en-US"/>
              </w:rPr>
            </w:pPr>
          </w:p>
          <w:p w14:paraId="7E318F0B" w14:textId="77777777" w:rsidR="00542633" w:rsidRPr="00EF5298" w:rsidRDefault="00542633" w:rsidP="00827BED">
            <w:pPr>
              <w:ind w:left="34"/>
              <w:contextualSpacing/>
              <w:jc w:val="both"/>
              <w:rPr>
                <w:sz w:val="20"/>
                <w:szCs w:val="20"/>
                <w:lang w:val="en-US"/>
              </w:rPr>
            </w:pPr>
          </w:p>
          <w:p w14:paraId="4E4989B0" w14:textId="77777777" w:rsidR="00542633" w:rsidRPr="00EF5298" w:rsidRDefault="00542633" w:rsidP="00827BED">
            <w:pPr>
              <w:ind w:left="34"/>
              <w:contextualSpacing/>
              <w:jc w:val="both"/>
              <w:rPr>
                <w:sz w:val="20"/>
                <w:szCs w:val="20"/>
                <w:lang w:val="en-US"/>
              </w:rPr>
            </w:pPr>
          </w:p>
          <w:p w14:paraId="763405F7" w14:textId="77777777" w:rsidR="00542633" w:rsidRPr="00EF5298" w:rsidRDefault="00542633" w:rsidP="00827BED">
            <w:pPr>
              <w:ind w:left="34"/>
              <w:contextualSpacing/>
              <w:jc w:val="both"/>
              <w:rPr>
                <w:sz w:val="20"/>
                <w:szCs w:val="20"/>
                <w:lang w:val="en-US"/>
              </w:rPr>
            </w:pPr>
            <w:r w:rsidRPr="00EF5298">
              <w:rPr>
                <w:sz w:val="20"/>
                <w:szCs w:val="20"/>
                <w:lang w:val="en-US"/>
              </w:rPr>
              <w:t xml:space="preserve">Secondary market platform will be created, </w:t>
            </w:r>
            <w:r>
              <w:rPr>
                <w:sz w:val="20"/>
                <w:szCs w:val="20"/>
                <w:lang w:val="en-US"/>
              </w:rPr>
              <w:t>however,</w:t>
            </w:r>
            <w:r w:rsidRPr="00EF5298">
              <w:rPr>
                <w:sz w:val="20"/>
                <w:szCs w:val="20"/>
                <w:lang w:val="en-US"/>
              </w:rPr>
              <w:t xml:space="preserve"> auctioning feature</w:t>
            </w:r>
            <w:r>
              <w:rPr>
                <w:sz w:val="20"/>
                <w:szCs w:val="20"/>
                <w:lang w:val="en-US"/>
              </w:rPr>
              <w:t xml:space="preserve"> is not foreseen for the transitional period</w:t>
            </w:r>
            <w:r w:rsidRPr="00EF5298">
              <w:rPr>
                <w:sz w:val="20"/>
                <w:szCs w:val="20"/>
                <w:lang w:val="en-US"/>
              </w:rPr>
              <w:t>.</w:t>
            </w:r>
          </w:p>
          <w:p w14:paraId="44D5DD8D" w14:textId="77777777" w:rsidR="00542633" w:rsidRPr="00EF5298" w:rsidRDefault="00542633" w:rsidP="00827BED">
            <w:pPr>
              <w:ind w:left="34"/>
              <w:contextualSpacing/>
              <w:jc w:val="both"/>
              <w:rPr>
                <w:sz w:val="20"/>
                <w:szCs w:val="20"/>
                <w:lang w:val="en-US"/>
              </w:rPr>
            </w:pPr>
          </w:p>
          <w:p w14:paraId="5BA137C6" w14:textId="77777777" w:rsidR="00542633" w:rsidRPr="00EF5298" w:rsidRDefault="00542633" w:rsidP="00827BED">
            <w:pPr>
              <w:ind w:left="34"/>
              <w:contextualSpacing/>
              <w:jc w:val="both"/>
              <w:rPr>
                <w:sz w:val="20"/>
                <w:szCs w:val="20"/>
                <w:lang w:val="en-US"/>
              </w:rPr>
            </w:pPr>
          </w:p>
          <w:p w14:paraId="52E580B1" w14:textId="77777777" w:rsidR="00542633" w:rsidRPr="00EF5298" w:rsidRDefault="00542633" w:rsidP="00827BED">
            <w:pPr>
              <w:ind w:left="34"/>
              <w:contextualSpacing/>
              <w:jc w:val="both"/>
              <w:rPr>
                <w:sz w:val="20"/>
                <w:szCs w:val="20"/>
                <w:lang w:val="en-US"/>
              </w:rPr>
            </w:pPr>
          </w:p>
        </w:tc>
      </w:tr>
      <w:tr w:rsidR="00542633" w:rsidRPr="008B1593" w14:paraId="1DF0DBA5" w14:textId="77777777" w:rsidTr="00795AD6">
        <w:trPr>
          <w:trHeight w:val="659"/>
        </w:trPr>
        <w:tc>
          <w:tcPr>
            <w:tcW w:w="2830" w:type="dxa"/>
          </w:tcPr>
          <w:p w14:paraId="1C55573F" w14:textId="77777777" w:rsidR="00542633" w:rsidRPr="008B1593" w:rsidRDefault="00542633" w:rsidP="00827BED">
            <w:pPr>
              <w:tabs>
                <w:tab w:val="left" w:pos="851"/>
              </w:tabs>
              <w:suppressAutoHyphens/>
              <w:jc w:val="both"/>
              <w:textAlignment w:val="baseline"/>
              <w:rPr>
                <w:sz w:val="20"/>
                <w:szCs w:val="20"/>
                <w:lang w:val="en-US" w:eastAsia="lt-LT"/>
              </w:rPr>
            </w:pPr>
            <w:r w:rsidRPr="008B1593">
              <w:rPr>
                <w:sz w:val="20"/>
                <w:szCs w:val="20"/>
                <w:lang w:val="en-US" w:eastAsia="lt-LT"/>
              </w:rPr>
              <w:t>&lt;...&gt;</w:t>
            </w:r>
          </w:p>
        </w:tc>
        <w:tc>
          <w:tcPr>
            <w:tcW w:w="6521" w:type="dxa"/>
          </w:tcPr>
          <w:p w14:paraId="1100DB2A" w14:textId="7A5BC325" w:rsidR="00542633" w:rsidRPr="008B1593" w:rsidRDefault="00B83638" w:rsidP="00827BED">
            <w:pPr>
              <w:ind w:left="34"/>
              <w:contextualSpacing/>
              <w:jc w:val="both"/>
              <w:rPr>
                <w:sz w:val="20"/>
                <w:szCs w:val="20"/>
                <w:lang w:val="en-US"/>
              </w:rPr>
            </w:pPr>
            <w:r>
              <w:rPr>
                <w:b/>
                <w:sz w:val="20"/>
                <w:szCs w:val="20"/>
                <w:lang w:val="en-US"/>
              </w:rPr>
              <w:t>Stakeholder 1</w:t>
            </w:r>
            <w:r w:rsidR="00542633">
              <w:rPr>
                <w:b/>
                <w:lang w:val="en-US"/>
              </w:rPr>
              <w:t>:</w:t>
            </w:r>
            <w:r w:rsidR="00542633" w:rsidRPr="008B1593">
              <w:rPr>
                <w:b/>
                <w:sz w:val="20"/>
                <w:szCs w:val="20"/>
                <w:lang w:val="en-US"/>
              </w:rPr>
              <w:t xml:space="preserve"> </w:t>
            </w:r>
            <w:r w:rsidR="00542633" w:rsidRPr="008B1593">
              <w:rPr>
                <w:sz w:val="20"/>
                <w:szCs w:val="20"/>
                <w:lang w:val="en-US"/>
              </w:rPr>
              <w:t>Regarding Gas Regulation Annex I paragraph 2.2.2 (1) TSOs shall propose and NRA shall approve Capacity increase through oversubscription and buy-back scheme (OSBB). We ask TSOs to provide the proposal for the respective NRAs and amend the Rules  because this scheme is not defined in it.</w:t>
            </w:r>
          </w:p>
        </w:tc>
        <w:tc>
          <w:tcPr>
            <w:tcW w:w="6343" w:type="dxa"/>
          </w:tcPr>
          <w:p w14:paraId="68E4947A" w14:textId="77777777" w:rsidR="00542633" w:rsidRPr="00EF5298" w:rsidRDefault="00542633" w:rsidP="00827BED">
            <w:pPr>
              <w:ind w:left="34"/>
              <w:contextualSpacing/>
              <w:jc w:val="both"/>
              <w:rPr>
                <w:sz w:val="20"/>
                <w:szCs w:val="20"/>
                <w:lang w:val="en-US"/>
              </w:rPr>
            </w:pPr>
            <w:r w:rsidRPr="00EF5298">
              <w:rPr>
                <w:sz w:val="20"/>
                <w:szCs w:val="20"/>
                <w:lang w:val="en-US"/>
              </w:rPr>
              <w:t xml:space="preserve">Proposal taken into account. </w:t>
            </w:r>
          </w:p>
        </w:tc>
      </w:tr>
      <w:tr w:rsidR="00542633" w:rsidRPr="008B1593" w14:paraId="58635176" w14:textId="77777777" w:rsidTr="00795AD6">
        <w:trPr>
          <w:trHeight w:val="659"/>
        </w:trPr>
        <w:tc>
          <w:tcPr>
            <w:tcW w:w="2830" w:type="dxa"/>
          </w:tcPr>
          <w:p w14:paraId="3C271286" w14:textId="77777777" w:rsidR="00542633" w:rsidRPr="008B1593" w:rsidRDefault="00542633" w:rsidP="00827BED">
            <w:pPr>
              <w:tabs>
                <w:tab w:val="left" w:pos="851"/>
              </w:tabs>
              <w:suppressAutoHyphens/>
              <w:jc w:val="both"/>
              <w:textAlignment w:val="baseline"/>
              <w:rPr>
                <w:sz w:val="20"/>
                <w:szCs w:val="20"/>
                <w:lang w:val="en-US" w:eastAsia="lt-LT"/>
              </w:rPr>
            </w:pPr>
            <w:r w:rsidRPr="008B1593">
              <w:rPr>
                <w:sz w:val="20"/>
                <w:szCs w:val="20"/>
                <w:lang w:val="en-US" w:eastAsia="lt-LT"/>
              </w:rPr>
              <w:lastRenderedPageBreak/>
              <w:t>5.2.3 offering secondary capacity market trading.</w:t>
            </w:r>
          </w:p>
        </w:tc>
        <w:tc>
          <w:tcPr>
            <w:tcW w:w="6521" w:type="dxa"/>
          </w:tcPr>
          <w:p w14:paraId="41FE6064" w14:textId="7D2E60CA" w:rsidR="00542633" w:rsidRPr="008B1593" w:rsidRDefault="00B83638" w:rsidP="00827BED">
            <w:pPr>
              <w:ind w:left="34"/>
              <w:contextualSpacing/>
              <w:jc w:val="both"/>
              <w:rPr>
                <w:sz w:val="20"/>
                <w:szCs w:val="20"/>
                <w:lang w:val="en-US"/>
              </w:rPr>
            </w:pPr>
            <w:r>
              <w:rPr>
                <w:b/>
                <w:sz w:val="20"/>
                <w:szCs w:val="20"/>
                <w:lang w:val="en-US"/>
              </w:rPr>
              <w:t>Stakeholder 1</w:t>
            </w:r>
            <w:r w:rsidR="00542633">
              <w:rPr>
                <w:b/>
                <w:lang w:val="en-US"/>
              </w:rPr>
              <w:t>:</w:t>
            </w:r>
            <w:r w:rsidR="00542633" w:rsidRPr="008B1593">
              <w:rPr>
                <w:b/>
                <w:sz w:val="20"/>
                <w:szCs w:val="20"/>
                <w:lang w:val="en-US"/>
              </w:rPr>
              <w:t xml:space="preserve"> </w:t>
            </w:r>
            <w:r w:rsidR="00542633" w:rsidRPr="008B1593">
              <w:rPr>
                <w:sz w:val="20"/>
                <w:szCs w:val="20"/>
                <w:lang w:val="en-US"/>
              </w:rPr>
              <w:t>Secondary market is a market (Gas Regulation Art. 16 (3) (b), Art. 22) not a CMP defined in the Gas Regulation Annex. I paragraph 2.2. Thus, this provision should be removed from section 5.</w:t>
            </w:r>
          </w:p>
          <w:p w14:paraId="56C4C1A1" w14:textId="77777777" w:rsidR="00542633" w:rsidRPr="008B1593" w:rsidRDefault="00542633" w:rsidP="00827BED">
            <w:pPr>
              <w:ind w:left="34"/>
              <w:contextualSpacing/>
              <w:jc w:val="both"/>
              <w:rPr>
                <w:sz w:val="20"/>
                <w:szCs w:val="20"/>
                <w:lang w:val="en-US"/>
              </w:rPr>
            </w:pPr>
            <w:r w:rsidRPr="008B1593">
              <w:rPr>
                <w:sz w:val="20"/>
                <w:szCs w:val="20"/>
                <w:lang w:val="en-US"/>
              </w:rPr>
              <w:t>Also, 5.1 and 5.2 paragraphs contradict secondary market principle – market participants can use secondary market anytime, not just when TSO announce that there is a congestion.</w:t>
            </w:r>
          </w:p>
        </w:tc>
        <w:tc>
          <w:tcPr>
            <w:tcW w:w="6343" w:type="dxa"/>
          </w:tcPr>
          <w:p w14:paraId="55452D81" w14:textId="77777777" w:rsidR="00542633" w:rsidRPr="00EF5298" w:rsidRDefault="00542633" w:rsidP="00FE1869">
            <w:pPr>
              <w:ind w:left="34"/>
              <w:contextualSpacing/>
              <w:jc w:val="both"/>
              <w:rPr>
                <w:sz w:val="20"/>
                <w:szCs w:val="20"/>
                <w:lang w:val="en-US"/>
              </w:rPr>
            </w:pPr>
            <w:r w:rsidRPr="00EF5298">
              <w:rPr>
                <w:sz w:val="20"/>
                <w:szCs w:val="20"/>
                <w:lang w:val="en-US"/>
              </w:rPr>
              <w:t xml:space="preserve">Proposal </w:t>
            </w:r>
            <w:r>
              <w:rPr>
                <w:sz w:val="20"/>
                <w:szCs w:val="20"/>
                <w:lang w:val="en-US"/>
              </w:rPr>
              <w:t>taken into account</w:t>
            </w:r>
            <w:r w:rsidRPr="00EF5298">
              <w:rPr>
                <w:sz w:val="20"/>
                <w:szCs w:val="20"/>
                <w:lang w:val="en-US"/>
              </w:rPr>
              <w:t>.</w:t>
            </w:r>
          </w:p>
        </w:tc>
      </w:tr>
      <w:tr w:rsidR="00542633" w:rsidRPr="008B1593" w14:paraId="1898B387" w14:textId="77777777" w:rsidTr="00795AD6">
        <w:trPr>
          <w:trHeight w:val="659"/>
        </w:trPr>
        <w:tc>
          <w:tcPr>
            <w:tcW w:w="2830" w:type="dxa"/>
          </w:tcPr>
          <w:p w14:paraId="75390C42" w14:textId="77777777" w:rsidR="00542633" w:rsidRPr="008B1593" w:rsidRDefault="00542633" w:rsidP="00827BED">
            <w:pPr>
              <w:tabs>
                <w:tab w:val="left" w:pos="851"/>
              </w:tabs>
              <w:suppressAutoHyphens/>
              <w:jc w:val="both"/>
              <w:textAlignment w:val="baseline"/>
              <w:rPr>
                <w:sz w:val="20"/>
                <w:szCs w:val="20"/>
                <w:lang w:val="en-US" w:eastAsia="lt-LT"/>
              </w:rPr>
            </w:pPr>
            <w:r w:rsidRPr="008B1593">
              <w:rPr>
                <w:sz w:val="20"/>
                <w:szCs w:val="20"/>
                <w:lang w:val="en-US" w:eastAsia="lt-LT"/>
              </w:rPr>
              <w:t>5.3. Surrendered capacity</w:t>
            </w:r>
          </w:p>
        </w:tc>
        <w:tc>
          <w:tcPr>
            <w:tcW w:w="6521" w:type="dxa"/>
          </w:tcPr>
          <w:p w14:paraId="28982B80" w14:textId="0B406A61" w:rsidR="00542633" w:rsidRPr="008B1593" w:rsidRDefault="00B83638" w:rsidP="00827BED">
            <w:pPr>
              <w:ind w:left="34"/>
              <w:contextualSpacing/>
              <w:jc w:val="both"/>
              <w:rPr>
                <w:sz w:val="20"/>
                <w:szCs w:val="20"/>
                <w:lang w:val="en-US"/>
              </w:rPr>
            </w:pPr>
            <w:r>
              <w:rPr>
                <w:b/>
                <w:sz w:val="20"/>
                <w:szCs w:val="20"/>
                <w:lang w:val="en-US"/>
              </w:rPr>
              <w:t>Stakeholder 1</w:t>
            </w:r>
            <w:r w:rsidR="00542633">
              <w:rPr>
                <w:b/>
                <w:lang w:val="en-US"/>
              </w:rPr>
              <w:t>:</w:t>
            </w:r>
            <w:r w:rsidR="00542633" w:rsidRPr="008B1593">
              <w:rPr>
                <w:b/>
                <w:sz w:val="20"/>
                <w:szCs w:val="20"/>
                <w:lang w:val="en-US"/>
              </w:rPr>
              <w:t xml:space="preserve"> </w:t>
            </w:r>
            <w:r w:rsidR="00542633" w:rsidRPr="008B1593">
              <w:rPr>
                <w:sz w:val="20"/>
                <w:szCs w:val="20"/>
                <w:lang w:val="en-US"/>
              </w:rPr>
              <w:t>Gas Regulation Annex I:</w:t>
            </w:r>
          </w:p>
          <w:p w14:paraId="70C99A26" w14:textId="77777777" w:rsidR="00542633" w:rsidRPr="008B1593" w:rsidRDefault="00542633" w:rsidP="00827BED">
            <w:pPr>
              <w:ind w:left="34"/>
              <w:contextualSpacing/>
              <w:jc w:val="both"/>
              <w:rPr>
                <w:i/>
                <w:sz w:val="20"/>
                <w:szCs w:val="20"/>
                <w:lang w:val="en-US"/>
              </w:rPr>
            </w:pPr>
            <w:r w:rsidRPr="008B1593">
              <w:rPr>
                <w:sz w:val="20"/>
                <w:szCs w:val="20"/>
                <w:lang w:val="en-US"/>
              </w:rPr>
              <w:t>“</w:t>
            </w:r>
            <w:r w:rsidRPr="008B1593">
              <w:rPr>
                <w:i/>
                <w:sz w:val="20"/>
                <w:szCs w:val="20"/>
                <w:lang w:val="en-US"/>
              </w:rPr>
              <w:t>2.2.4. Surrender of contracted capacity</w:t>
            </w:r>
          </w:p>
          <w:p w14:paraId="012B9D0B" w14:textId="77777777" w:rsidR="00542633" w:rsidRPr="008B1593" w:rsidRDefault="00542633" w:rsidP="00827BED">
            <w:pPr>
              <w:ind w:left="34"/>
              <w:contextualSpacing/>
              <w:jc w:val="both"/>
              <w:rPr>
                <w:sz w:val="20"/>
                <w:szCs w:val="20"/>
                <w:lang w:val="en-US"/>
              </w:rPr>
            </w:pPr>
            <w:r w:rsidRPr="008B1593">
              <w:rPr>
                <w:i/>
                <w:sz w:val="20"/>
                <w:szCs w:val="20"/>
                <w:lang w:val="en-US"/>
              </w:rPr>
              <w:t>Transmission system operators shall accept any surrender of firm capacity which is contracted by the network user at an interconnection point, with the exception of capacity products with a duration of a day and shorter.</w:t>
            </w:r>
            <w:r w:rsidRPr="008B1593">
              <w:rPr>
                <w:sz w:val="20"/>
                <w:szCs w:val="20"/>
                <w:lang w:val="en-US"/>
              </w:rPr>
              <w:t>”</w:t>
            </w:r>
          </w:p>
          <w:p w14:paraId="01345E94" w14:textId="77777777" w:rsidR="00542633" w:rsidRPr="008B1593" w:rsidRDefault="00542633" w:rsidP="00827BED">
            <w:pPr>
              <w:ind w:left="34"/>
              <w:contextualSpacing/>
              <w:jc w:val="both"/>
              <w:rPr>
                <w:sz w:val="20"/>
                <w:szCs w:val="20"/>
                <w:lang w:val="en-US"/>
              </w:rPr>
            </w:pPr>
            <w:r w:rsidRPr="008B1593">
              <w:rPr>
                <w:sz w:val="20"/>
                <w:szCs w:val="20"/>
                <w:lang w:val="en-US"/>
              </w:rPr>
              <w:t>We suggest adding additional paragraph which defines that surrendered capacity scheme is not applied to the capacity products with a duration of a day and shorter.</w:t>
            </w:r>
          </w:p>
          <w:p w14:paraId="511D145B" w14:textId="77777777" w:rsidR="00542633" w:rsidRPr="008B1593" w:rsidRDefault="00542633" w:rsidP="00827BED">
            <w:pPr>
              <w:ind w:left="34"/>
              <w:contextualSpacing/>
              <w:jc w:val="both"/>
              <w:rPr>
                <w:sz w:val="20"/>
                <w:szCs w:val="20"/>
                <w:lang w:val="en-US"/>
              </w:rPr>
            </w:pPr>
          </w:p>
          <w:p w14:paraId="63A2BC10" w14:textId="77777777" w:rsidR="00542633" w:rsidRPr="008B1593" w:rsidRDefault="00542633" w:rsidP="00827BED">
            <w:pPr>
              <w:ind w:left="34"/>
              <w:contextualSpacing/>
              <w:jc w:val="both"/>
              <w:rPr>
                <w:sz w:val="20"/>
                <w:szCs w:val="20"/>
                <w:lang w:val="en-US"/>
              </w:rPr>
            </w:pPr>
            <w:r w:rsidRPr="008B1593">
              <w:rPr>
                <w:sz w:val="20"/>
                <w:szCs w:val="20"/>
                <w:lang w:val="en-US"/>
              </w:rPr>
              <w:t>Also, we suggest transposing Amber Grid rules paragraph 69.1.5 as a implementation of the Gas Regulation Annex I paragraph 2.2.4.</w:t>
            </w:r>
          </w:p>
        </w:tc>
        <w:tc>
          <w:tcPr>
            <w:tcW w:w="6343" w:type="dxa"/>
          </w:tcPr>
          <w:p w14:paraId="75158A9A" w14:textId="77777777" w:rsidR="00542633" w:rsidRPr="00EF5298" w:rsidRDefault="00542633" w:rsidP="00FE1869">
            <w:pPr>
              <w:ind w:left="34"/>
              <w:contextualSpacing/>
              <w:jc w:val="both"/>
              <w:rPr>
                <w:sz w:val="20"/>
                <w:szCs w:val="20"/>
                <w:lang w:val="en-US"/>
              </w:rPr>
            </w:pPr>
            <w:r w:rsidRPr="00EF5298">
              <w:rPr>
                <w:sz w:val="20"/>
                <w:szCs w:val="20"/>
                <w:lang w:val="en-US"/>
              </w:rPr>
              <w:t xml:space="preserve">Proposal </w:t>
            </w:r>
            <w:r>
              <w:rPr>
                <w:sz w:val="20"/>
                <w:szCs w:val="20"/>
                <w:lang w:val="en-US"/>
              </w:rPr>
              <w:t>taken into account</w:t>
            </w:r>
            <w:r w:rsidRPr="00EF5298">
              <w:rPr>
                <w:sz w:val="20"/>
                <w:szCs w:val="20"/>
                <w:lang w:val="en-US"/>
              </w:rPr>
              <w:t>.</w:t>
            </w:r>
          </w:p>
        </w:tc>
      </w:tr>
      <w:tr w:rsidR="00542633" w:rsidRPr="008B1593" w14:paraId="093CFF76" w14:textId="77777777" w:rsidTr="00795AD6">
        <w:trPr>
          <w:trHeight w:val="659"/>
        </w:trPr>
        <w:tc>
          <w:tcPr>
            <w:tcW w:w="2830" w:type="dxa"/>
          </w:tcPr>
          <w:p w14:paraId="352C0B06" w14:textId="77777777" w:rsidR="00542633" w:rsidRPr="008B1593" w:rsidRDefault="00542633" w:rsidP="00827BED">
            <w:pPr>
              <w:tabs>
                <w:tab w:val="left" w:pos="851"/>
              </w:tabs>
              <w:suppressAutoHyphens/>
              <w:jc w:val="both"/>
              <w:textAlignment w:val="baseline"/>
              <w:rPr>
                <w:sz w:val="20"/>
                <w:szCs w:val="20"/>
                <w:lang w:val="en-US" w:eastAsia="lt-LT"/>
              </w:rPr>
            </w:pPr>
            <w:r w:rsidRPr="008B1593">
              <w:rPr>
                <w:sz w:val="20"/>
                <w:szCs w:val="20"/>
                <w:lang w:val="en-US" w:eastAsia="lt-LT"/>
              </w:rPr>
              <w:t>5.4. Long Term UIOLI mechanism</w:t>
            </w:r>
          </w:p>
        </w:tc>
        <w:tc>
          <w:tcPr>
            <w:tcW w:w="6521" w:type="dxa"/>
          </w:tcPr>
          <w:p w14:paraId="75AFBBDE" w14:textId="79F536B3" w:rsidR="00542633" w:rsidRPr="008B1593" w:rsidRDefault="00B83638" w:rsidP="00827BED">
            <w:pPr>
              <w:ind w:left="34"/>
              <w:contextualSpacing/>
              <w:jc w:val="both"/>
              <w:rPr>
                <w:sz w:val="20"/>
                <w:szCs w:val="20"/>
                <w:lang w:val="en-US"/>
              </w:rPr>
            </w:pPr>
            <w:r>
              <w:rPr>
                <w:b/>
                <w:sz w:val="20"/>
                <w:szCs w:val="20"/>
                <w:lang w:val="en-US"/>
              </w:rPr>
              <w:t>Stakeholder 1</w:t>
            </w:r>
            <w:r w:rsidR="00542633">
              <w:rPr>
                <w:b/>
                <w:lang w:val="en-US"/>
              </w:rPr>
              <w:t>:</w:t>
            </w:r>
            <w:r w:rsidR="00542633" w:rsidRPr="008B1593">
              <w:rPr>
                <w:b/>
                <w:sz w:val="20"/>
                <w:szCs w:val="20"/>
                <w:lang w:val="en-US"/>
              </w:rPr>
              <w:t xml:space="preserve"> </w:t>
            </w:r>
            <w:r w:rsidR="00542633" w:rsidRPr="008B1593">
              <w:rPr>
                <w:sz w:val="20"/>
                <w:szCs w:val="20"/>
                <w:lang w:val="en-US"/>
              </w:rPr>
              <w:t>Gas Regulation Annex I paragraph 2.2.5:</w:t>
            </w:r>
          </w:p>
          <w:p w14:paraId="71C739EB" w14:textId="77777777" w:rsidR="00542633" w:rsidRPr="008B1593" w:rsidRDefault="00542633" w:rsidP="00827BED">
            <w:pPr>
              <w:ind w:left="34"/>
              <w:contextualSpacing/>
              <w:jc w:val="both"/>
              <w:rPr>
                <w:sz w:val="20"/>
                <w:szCs w:val="20"/>
                <w:lang w:val="en-US"/>
              </w:rPr>
            </w:pPr>
            <w:r w:rsidRPr="008B1593">
              <w:rPr>
                <w:sz w:val="20"/>
                <w:szCs w:val="20"/>
                <w:lang w:val="en-US"/>
              </w:rPr>
              <w:t>“</w:t>
            </w:r>
            <w:r w:rsidRPr="008B1593">
              <w:rPr>
                <w:i/>
                <w:sz w:val="20"/>
                <w:szCs w:val="20"/>
                <w:lang w:val="en-US"/>
              </w:rPr>
              <w:t xml:space="preserve">3. Withdrawal shall result in the network user </w:t>
            </w:r>
            <w:r w:rsidRPr="008B1593">
              <w:rPr>
                <w:b/>
                <w:i/>
                <w:sz w:val="20"/>
                <w:szCs w:val="20"/>
                <w:lang w:val="en-US"/>
              </w:rPr>
              <w:t>losing</w:t>
            </w:r>
            <w:r w:rsidRPr="008B1593">
              <w:rPr>
                <w:i/>
                <w:sz w:val="20"/>
                <w:szCs w:val="20"/>
                <w:lang w:val="en-US"/>
              </w:rPr>
              <w:t xml:space="preserve"> its contracted capacity </w:t>
            </w:r>
            <w:r w:rsidRPr="008B1593">
              <w:rPr>
                <w:b/>
                <w:i/>
                <w:sz w:val="20"/>
                <w:szCs w:val="20"/>
                <w:lang w:val="en-US"/>
              </w:rPr>
              <w:t>partially or completely</w:t>
            </w:r>
            <w:r w:rsidRPr="008B1593">
              <w:rPr>
                <w:i/>
                <w:sz w:val="20"/>
                <w:szCs w:val="20"/>
                <w:lang w:val="en-US"/>
              </w:rPr>
              <w:t xml:space="preserve"> for a given period or for the remaining effective contractual term. </w:t>
            </w:r>
            <w:r w:rsidRPr="008B1593">
              <w:rPr>
                <w:b/>
                <w:i/>
                <w:sz w:val="20"/>
                <w:szCs w:val="20"/>
                <w:lang w:val="en-US"/>
              </w:rPr>
              <w:t>The network user shall retain its rights and obligations</w:t>
            </w:r>
            <w:r w:rsidRPr="008B1593">
              <w:rPr>
                <w:i/>
                <w:sz w:val="20"/>
                <w:szCs w:val="20"/>
                <w:lang w:val="en-US"/>
              </w:rPr>
              <w:t xml:space="preserve"> under the capacity contract until the capacity is reallocated by the transmission system operator and to the extent the capacity is not reallocated by the transmission system operator.</w:t>
            </w:r>
            <w:r w:rsidRPr="008B1593">
              <w:rPr>
                <w:sz w:val="20"/>
                <w:szCs w:val="20"/>
                <w:lang w:val="en-US"/>
              </w:rPr>
              <w:t>”</w:t>
            </w:r>
          </w:p>
          <w:p w14:paraId="0305D965" w14:textId="77777777" w:rsidR="00542633" w:rsidRPr="008B1593" w:rsidRDefault="00542633" w:rsidP="00827BED">
            <w:pPr>
              <w:ind w:left="34"/>
              <w:contextualSpacing/>
              <w:jc w:val="both"/>
              <w:rPr>
                <w:sz w:val="20"/>
                <w:szCs w:val="20"/>
                <w:lang w:val="en-US"/>
              </w:rPr>
            </w:pPr>
            <w:r w:rsidRPr="008B1593">
              <w:rPr>
                <w:sz w:val="20"/>
                <w:szCs w:val="20"/>
                <w:lang w:val="en-US"/>
              </w:rPr>
              <w:t>We suggest amending the Rules in order to implement Gas Regulation Annex I paragraph 2.2.5 (3) requirements.</w:t>
            </w:r>
          </w:p>
        </w:tc>
        <w:tc>
          <w:tcPr>
            <w:tcW w:w="6343" w:type="dxa"/>
          </w:tcPr>
          <w:p w14:paraId="1271B642" w14:textId="77777777" w:rsidR="00542633" w:rsidRPr="00EF5298" w:rsidRDefault="00542633" w:rsidP="00FE1869">
            <w:pPr>
              <w:ind w:left="34"/>
              <w:contextualSpacing/>
              <w:jc w:val="both"/>
              <w:rPr>
                <w:sz w:val="20"/>
                <w:szCs w:val="20"/>
                <w:lang w:val="en-US"/>
              </w:rPr>
            </w:pPr>
            <w:r w:rsidRPr="00EF5298">
              <w:rPr>
                <w:sz w:val="20"/>
                <w:szCs w:val="20"/>
                <w:lang w:val="en-US"/>
              </w:rPr>
              <w:t xml:space="preserve">Proposal </w:t>
            </w:r>
            <w:r>
              <w:rPr>
                <w:sz w:val="20"/>
                <w:szCs w:val="20"/>
                <w:lang w:val="en-US"/>
              </w:rPr>
              <w:t>taken into account</w:t>
            </w:r>
            <w:r w:rsidRPr="00EF5298">
              <w:rPr>
                <w:sz w:val="20"/>
                <w:szCs w:val="20"/>
                <w:lang w:val="en-US"/>
              </w:rPr>
              <w:t>.</w:t>
            </w:r>
          </w:p>
        </w:tc>
      </w:tr>
      <w:tr w:rsidR="00542633" w:rsidRPr="008B1593" w14:paraId="2147BD5F" w14:textId="77777777" w:rsidTr="00795AD6">
        <w:trPr>
          <w:trHeight w:val="659"/>
        </w:trPr>
        <w:tc>
          <w:tcPr>
            <w:tcW w:w="2830" w:type="dxa"/>
          </w:tcPr>
          <w:p w14:paraId="042101C0" w14:textId="77777777" w:rsidR="00542633" w:rsidRPr="008B1593" w:rsidRDefault="00542633" w:rsidP="00827BED">
            <w:pPr>
              <w:tabs>
                <w:tab w:val="left" w:pos="851"/>
              </w:tabs>
              <w:suppressAutoHyphens/>
              <w:jc w:val="both"/>
              <w:textAlignment w:val="baseline"/>
              <w:rPr>
                <w:sz w:val="20"/>
                <w:szCs w:val="20"/>
                <w:lang w:val="en-US" w:eastAsia="lt-LT"/>
              </w:rPr>
            </w:pPr>
            <w:r w:rsidRPr="008B1593">
              <w:rPr>
                <w:sz w:val="20"/>
                <w:szCs w:val="20"/>
                <w:lang w:val="en-US" w:eastAsia="lt-LT"/>
              </w:rPr>
              <w:t>&lt;...&gt;</w:t>
            </w:r>
          </w:p>
        </w:tc>
        <w:tc>
          <w:tcPr>
            <w:tcW w:w="6521" w:type="dxa"/>
          </w:tcPr>
          <w:p w14:paraId="014CD8DA" w14:textId="75368256" w:rsidR="00542633" w:rsidRPr="008B1593" w:rsidRDefault="00B83638" w:rsidP="00827BED">
            <w:pPr>
              <w:ind w:left="34"/>
              <w:contextualSpacing/>
              <w:jc w:val="both"/>
              <w:rPr>
                <w:sz w:val="20"/>
                <w:szCs w:val="20"/>
                <w:lang w:val="en-US"/>
              </w:rPr>
            </w:pPr>
            <w:r>
              <w:rPr>
                <w:b/>
                <w:sz w:val="20"/>
                <w:szCs w:val="20"/>
                <w:lang w:val="en-US"/>
              </w:rPr>
              <w:t>Stakeholder 1</w:t>
            </w:r>
            <w:r w:rsidR="00542633">
              <w:rPr>
                <w:b/>
                <w:lang w:val="en-US"/>
              </w:rPr>
              <w:t>:</w:t>
            </w:r>
            <w:r w:rsidR="00542633" w:rsidRPr="008B1593">
              <w:rPr>
                <w:b/>
                <w:sz w:val="20"/>
                <w:szCs w:val="20"/>
                <w:lang w:val="en-US"/>
              </w:rPr>
              <w:t xml:space="preserve"> </w:t>
            </w:r>
            <w:r w:rsidR="00542633" w:rsidRPr="008B1593">
              <w:rPr>
                <w:sz w:val="20"/>
                <w:szCs w:val="20"/>
                <w:lang w:val="en-US"/>
              </w:rPr>
              <w:t>We suggest adding additional principle as defined in the Amber Grid rules paragraph 70.3-70.4 where a network user which booked capacity is planned to be taken away by the TSO, have a right to sell that capacity on the secondary market based on the deadline and conditions defined in this document. E. g. There is proposed 2 mounts period from booking application to start of the yearly capacity product allocation. During that time contractual congestion issues could be solved or capacity could be traded on the secondary market.</w:t>
            </w:r>
          </w:p>
        </w:tc>
        <w:tc>
          <w:tcPr>
            <w:tcW w:w="6343" w:type="dxa"/>
          </w:tcPr>
          <w:p w14:paraId="7C27DC36" w14:textId="77777777" w:rsidR="00542633" w:rsidRPr="00EF5298" w:rsidRDefault="00542633" w:rsidP="00FE1869">
            <w:pPr>
              <w:ind w:left="34"/>
              <w:contextualSpacing/>
              <w:jc w:val="both"/>
              <w:rPr>
                <w:sz w:val="20"/>
                <w:szCs w:val="20"/>
                <w:lang w:val="en-US"/>
              </w:rPr>
            </w:pPr>
            <w:r w:rsidRPr="00EF5298">
              <w:rPr>
                <w:sz w:val="20"/>
                <w:szCs w:val="20"/>
                <w:lang w:val="en-US"/>
              </w:rPr>
              <w:t xml:space="preserve">Proposal </w:t>
            </w:r>
            <w:r>
              <w:rPr>
                <w:sz w:val="20"/>
                <w:szCs w:val="20"/>
                <w:lang w:val="en-US"/>
              </w:rPr>
              <w:t>taken into account</w:t>
            </w:r>
            <w:r w:rsidRPr="00EF5298">
              <w:rPr>
                <w:sz w:val="20"/>
                <w:szCs w:val="20"/>
                <w:lang w:val="en-US"/>
              </w:rPr>
              <w:t>.</w:t>
            </w:r>
          </w:p>
        </w:tc>
      </w:tr>
      <w:tr w:rsidR="00542633" w:rsidRPr="008B1593" w14:paraId="7680196A" w14:textId="77777777" w:rsidTr="00795AD6">
        <w:trPr>
          <w:trHeight w:val="659"/>
        </w:trPr>
        <w:tc>
          <w:tcPr>
            <w:tcW w:w="2830" w:type="dxa"/>
          </w:tcPr>
          <w:p w14:paraId="5838A80C" w14:textId="77777777" w:rsidR="00542633" w:rsidRPr="008B1593" w:rsidRDefault="00542633" w:rsidP="00827BED">
            <w:pPr>
              <w:tabs>
                <w:tab w:val="left" w:pos="851"/>
              </w:tabs>
              <w:suppressAutoHyphens/>
              <w:jc w:val="both"/>
              <w:textAlignment w:val="baseline"/>
              <w:rPr>
                <w:b/>
                <w:sz w:val="20"/>
                <w:szCs w:val="20"/>
                <w:lang w:val="en-US" w:eastAsia="lt-LT"/>
              </w:rPr>
            </w:pPr>
            <w:r w:rsidRPr="008B1593">
              <w:rPr>
                <w:sz w:val="20"/>
                <w:szCs w:val="20"/>
                <w:lang w:val="en-US" w:eastAsia="lt-LT"/>
              </w:rPr>
              <w:t>5.4.3. Network user has to provide a justification and reasoning for unused capacity amount within five business days from receiving the notification from TSO.</w:t>
            </w:r>
          </w:p>
        </w:tc>
        <w:tc>
          <w:tcPr>
            <w:tcW w:w="6521" w:type="dxa"/>
          </w:tcPr>
          <w:p w14:paraId="1093B997" w14:textId="0AC78096" w:rsidR="00542633" w:rsidRPr="008B1593" w:rsidRDefault="00B83638" w:rsidP="00827BED">
            <w:pPr>
              <w:ind w:left="34"/>
              <w:contextualSpacing/>
              <w:jc w:val="both"/>
              <w:rPr>
                <w:sz w:val="20"/>
                <w:szCs w:val="20"/>
                <w:lang w:val="en-US"/>
              </w:rPr>
            </w:pPr>
            <w:r>
              <w:rPr>
                <w:b/>
                <w:sz w:val="20"/>
                <w:szCs w:val="20"/>
                <w:lang w:val="en-US"/>
              </w:rPr>
              <w:t>Stakeholder 1</w:t>
            </w:r>
            <w:r w:rsidR="00542633">
              <w:rPr>
                <w:b/>
                <w:lang w:val="en-US"/>
              </w:rPr>
              <w:t>:</w:t>
            </w:r>
            <w:r w:rsidR="00542633" w:rsidRPr="008B1593">
              <w:rPr>
                <w:b/>
                <w:sz w:val="20"/>
                <w:szCs w:val="20"/>
                <w:lang w:val="en-US"/>
              </w:rPr>
              <w:t xml:space="preserve"> </w:t>
            </w:r>
            <w:r w:rsidR="00542633" w:rsidRPr="008B1593">
              <w:rPr>
                <w:sz w:val="20"/>
                <w:szCs w:val="20"/>
                <w:lang w:val="en-US"/>
              </w:rPr>
              <w:t>There is no need for network user to provide justifications. It is a TSO right to use CMP unilaterally. This provision could cause complex legal disputes in order to confirm whether network user justification is sufficient and TSO decision is objective and unbiased. We suggest removing this provision.</w:t>
            </w:r>
          </w:p>
        </w:tc>
        <w:tc>
          <w:tcPr>
            <w:tcW w:w="6343" w:type="dxa"/>
          </w:tcPr>
          <w:p w14:paraId="0E43988C" w14:textId="77777777" w:rsidR="00542633" w:rsidRPr="00EF5298" w:rsidRDefault="00542633" w:rsidP="00FE1869">
            <w:pPr>
              <w:ind w:left="34"/>
              <w:contextualSpacing/>
              <w:jc w:val="both"/>
              <w:rPr>
                <w:sz w:val="20"/>
                <w:szCs w:val="20"/>
                <w:lang w:val="en-US"/>
              </w:rPr>
            </w:pPr>
            <w:r w:rsidRPr="00EF5298">
              <w:rPr>
                <w:sz w:val="20"/>
                <w:szCs w:val="20"/>
                <w:lang w:val="en-US"/>
              </w:rPr>
              <w:t xml:space="preserve">Proposal </w:t>
            </w:r>
            <w:r>
              <w:rPr>
                <w:sz w:val="20"/>
                <w:szCs w:val="20"/>
                <w:lang w:val="en-US"/>
              </w:rPr>
              <w:t>taken into account</w:t>
            </w:r>
            <w:r w:rsidRPr="00EF5298">
              <w:rPr>
                <w:sz w:val="20"/>
                <w:szCs w:val="20"/>
                <w:lang w:val="en-US"/>
              </w:rPr>
              <w:t>.</w:t>
            </w:r>
          </w:p>
        </w:tc>
      </w:tr>
      <w:tr w:rsidR="00542633" w:rsidRPr="008B1593" w14:paraId="5897937C" w14:textId="77777777" w:rsidTr="00795AD6">
        <w:trPr>
          <w:trHeight w:val="659"/>
        </w:trPr>
        <w:tc>
          <w:tcPr>
            <w:tcW w:w="2830" w:type="dxa"/>
          </w:tcPr>
          <w:p w14:paraId="2B5BEB6C" w14:textId="77777777" w:rsidR="00542633" w:rsidRPr="008B1593" w:rsidRDefault="00542633" w:rsidP="00827BED">
            <w:pPr>
              <w:tabs>
                <w:tab w:val="left" w:pos="851"/>
              </w:tabs>
              <w:suppressAutoHyphens/>
              <w:jc w:val="both"/>
              <w:textAlignment w:val="baseline"/>
              <w:rPr>
                <w:sz w:val="20"/>
                <w:szCs w:val="20"/>
                <w:lang w:val="en-US" w:eastAsia="lt-LT"/>
              </w:rPr>
            </w:pPr>
            <w:r w:rsidRPr="008B1593">
              <w:rPr>
                <w:b/>
                <w:sz w:val="20"/>
                <w:szCs w:val="20"/>
                <w:lang w:val="en-US" w:eastAsia="lt-LT"/>
              </w:rPr>
              <w:lastRenderedPageBreak/>
              <w:t>Secondary capacity trading</w:t>
            </w:r>
          </w:p>
        </w:tc>
        <w:tc>
          <w:tcPr>
            <w:tcW w:w="6521" w:type="dxa"/>
          </w:tcPr>
          <w:p w14:paraId="00636814" w14:textId="776AD667" w:rsidR="00542633" w:rsidRPr="008B1593" w:rsidRDefault="00B83638" w:rsidP="00827BED">
            <w:pPr>
              <w:ind w:left="34"/>
              <w:contextualSpacing/>
              <w:jc w:val="both"/>
              <w:rPr>
                <w:sz w:val="20"/>
                <w:szCs w:val="20"/>
                <w:lang w:val="en-US"/>
              </w:rPr>
            </w:pPr>
            <w:r>
              <w:rPr>
                <w:b/>
                <w:sz w:val="20"/>
                <w:szCs w:val="20"/>
                <w:lang w:val="en-US"/>
              </w:rPr>
              <w:t>Stakeholder 1</w:t>
            </w:r>
            <w:r w:rsidR="00542633">
              <w:rPr>
                <w:b/>
                <w:lang w:val="en-US"/>
              </w:rPr>
              <w:t>:</w:t>
            </w:r>
            <w:r w:rsidR="00542633" w:rsidRPr="008B1593">
              <w:rPr>
                <w:b/>
                <w:sz w:val="20"/>
                <w:szCs w:val="20"/>
                <w:lang w:val="en-US"/>
              </w:rPr>
              <w:t xml:space="preserve"> </w:t>
            </w:r>
            <w:r w:rsidR="00542633" w:rsidRPr="008B1593">
              <w:rPr>
                <w:sz w:val="20"/>
                <w:szCs w:val="20"/>
                <w:lang w:val="en-US"/>
              </w:rPr>
              <w:t xml:space="preserve">TSO should organize the secondary market as it </w:t>
            </w:r>
            <w:r w:rsidR="000C639F" w:rsidRPr="008B1593">
              <w:rPr>
                <w:sz w:val="20"/>
                <w:szCs w:val="20"/>
                <w:lang w:val="en-US"/>
              </w:rPr>
              <w:t>organize</w:t>
            </w:r>
            <w:r w:rsidR="00542633" w:rsidRPr="008B1593">
              <w:rPr>
                <w:sz w:val="20"/>
                <w:szCs w:val="20"/>
                <w:lang w:val="en-US"/>
              </w:rPr>
              <w:t xml:space="preserve"> a primary market by providing a platform for network users.</w:t>
            </w:r>
          </w:p>
          <w:p w14:paraId="009C7294" w14:textId="77777777" w:rsidR="00542633" w:rsidRDefault="00542633" w:rsidP="00827BED">
            <w:pPr>
              <w:ind w:left="34"/>
              <w:contextualSpacing/>
              <w:jc w:val="both"/>
              <w:rPr>
                <w:sz w:val="20"/>
                <w:szCs w:val="20"/>
                <w:lang w:val="en-US"/>
              </w:rPr>
            </w:pPr>
            <w:r w:rsidRPr="008B1593">
              <w:rPr>
                <w:sz w:val="20"/>
                <w:szCs w:val="20"/>
                <w:lang w:val="en-US"/>
              </w:rPr>
              <w:t>We suggest organizing secondary market not only on the OTC but on the exchange platform basis with standardized products settlement and clearing. This will ensure transparent rules and keeps market participants always informed about the offered products on the secondary market. As consequence it will create level playing field and, also reduce consumers expenditure for procured capacity services</w:t>
            </w:r>
          </w:p>
          <w:p w14:paraId="0CE44ACC" w14:textId="0B30F841" w:rsidR="00542633" w:rsidRDefault="00B83638" w:rsidP="00827BED">
            <w:pPr>
              <w:ind w:left="34"/>
              <w:contextualSpacing/>
              <w:jc w:val="both"/>
              <w:rPr>
                <w:sz w:val="20"/>
                <w:szCs w:val="20"/>
                <w:lang w:val="en-US"/>
              </w:rPr>
            </w:pPr>
            <w:r>
              <w:rPr>
                <w:b/>
                <w:sz w:val="20"/>
                <w:szCs w:val="20"/>
                <w:lang w:val="en-US"/>
              </w:rPr>
              <w:t>Stakeholder 3</w:t>
            </w:r>
            <w:r w:rsidR="00542633" w:rsidRPr="00C211C1">
              <w:rPr>
                <w:b/>
                <w:sz w:val="20"/>
                <w:szCs w:val="20"/>
                <w:lang w:val="en-US"/>
              </w:rPr>
              <w:t>:</w:t>
            </w:r>
            <w:r w:rsidR="00542633">
              <w:t xml:space="preserve"> </w:t>
            </w:r>
            <w:r w:rsidR="00542633" w:rsidRPr="00C211C1">
              <w:rPr>
                <w:sz w:val="20"/>
                <w:szCs w:val="20"/>
                <w:lang w:val="en-US"/>
              </w:rPr>
              <w:t>Before the “lesser rule” is applied, it would be preferred that the official matching procedure would include notifying the mismatching trade quantities to BRPs so that they would have time to correct them before the rule is applied.</w:t>
            </w:r>
            <w:r w:rsidR="00542633">
              <w:rPr>
                <w:sz w:val="20"/>
                <w:szCs w:val="20"/>
                <w:lang w:val="en-US"/>
              </w:rPr>
              <w:t xml:space="preserve"> </w:t>
            </w:r>
          </w:p>
          <w:p w14:paraId="2D162A59" w14:textId="77BF3681" w:rsidR="00542633" w:rsidRPr="008B1593" w:rsidRDefault="00B83638" w:rsidP="00827BED">
            <w:pPr>
              <w:ind w:left="34"/>
              <w:contextualSpacing/>
              <w:jc w:val="both"/>
              <w:rPr>
                <w:sz w:val="20"/>
                <w:szCs w:val="20"/>
                <w:lang w:val="en-US"/>
              </w:rPr>
            </w:pPr>
            <w:r>
              <w:rPr>
                <w:b/>
                <w:sz w:val="20"/>
                <w:szCs w:val="20"/>
                <w:lang w:val="en-US"/>
              </w:rPr>
              <w:t>Stakeholder 3</w:t>
            </w:r>
            <w:r w:rsidR="00542633">
              <w:rPr>
                <w:b/>
                <w:sz w:val="20"/>
                <w:szCs w:val="20"/>
                <w:lang w:val="en-US"/>
              </w:rPr>
              <w:t>:</w:t>
            </w:r>
            <w:r w:rsidR="00542633">
              <w:rPr>
                <w:sz w:val="20"/>
                <w:szCs w:val="20"/>
                <w:lang w:val="en-US"/>
              </w:rPr>
              <w:t xml:space="preserve"> </w:t>
            </w:r>
            <w:r w:rsidR="00542633">
              <w:t xml:space="preserve"> </w:t>
            </w:r>
            <w:r w:rsidR="00542633" w:rsidRPr="00C211C1">
              <w:rPr>
                <w:sz w:val="20"/>
                <w:szCs w:val="20"/>
                <w:lang w:val="en-US"/>
              </w:rPr>
              <w:t xml:space="preserve">It is worth considering a price cap for Bilateral capacity trades to avoid capacity hoarding at a </w:t>
            </w:r>
            <w:r w:rsidR="000C639F" w:rsidRPr="00C211C1">
              <w:rPr>
                <w:sz w:val="20"/>
                <w:szCs w:val="20"/>
                <w:lang w:val="en-US"/>
              </w:rPr>
              <w:t>favorable</w:t>
            </w:r>
            <w:r w:rsidR="00542633" w:rsidRPr="00C211C1">
              <w:rPr>
                <w:sz w:val="20"/>
                <w:szCs w:val="20"/>
                <w:lang w:val="en-US"/>
              </w:rPr>
              <w:t xml:space="preserve"> entry point. Otherwise market participants may abuse the system by overbooking and then selling the capacity for profit. In such a case the UIOLI mechanism would also not kick in yet.</w:t>
            </w:r>
          </w:p>
        </w:tc>
        <w:tc>
          <w:tcPr>
            <w:tcW w:w="6343" w:type="dxa"/>
          </w:tcPr>
          <w:p w14:paraId="466353E6" w14:textId="77777777" w:rsidR="00542633" w:rsidRPr="00EF5298" w:rsidRDefault="00542633" w:rsidP="00974CA8">
            <w:pPr>
              <w:ind w:left="34"/>
              <w:contextualSpacing/>
              <w:jc w:val="both"/>
              <w:rPr>
                <w:sz w:val="20"/>
                <w:szCs w:val="20"/>
                <w:lang w:val="en-US"/>
              </w:rPr>
            </w:pPr>
            <w:r w:rsidRPr="00EF5298">
              <w:rPr>
                <w:sz w:val="20"/>
                <w:szCs w:val="20"/>
                <w:lang w:val="en-US"/>
              </w:rPr>
              <w:t>Secondary market platform will be created, but without auctioning feature.</w:t>
            </w:r>
          </w:p>
          <w:p w14:paraId="6B9687E7" w14:textId="77777777" w:rsidR="00542633" w:rsidRPr="00EF5298" w:rsidRDefault="00542633" w:rsidP="00827BED">
            <w:pPr>
              <w:ind w:left="34"/>
              <w:contextualSpacing/>
              <w:jc w:val="both"/>
              <w:rPr>
                <w:sz w:val="20"/>
                <w:szCs w:val="20"/>
                <w:lang w:val="en-US"/>
              </w:rPr>
            </w:pPr>
          </w:p>
          <w:p w14:paraId="08E89199" w14:textId="77777777" w:rsidR="00542633" w:rsidRPr="00EF5298" w:rsidRDefault="00542633" w:rsidP="00827BED">
            <w:pPr>
              <w:ind w:left="34"/>
              <w:contextualSpacing/>
              <w:jc w:val="both"/>
              <w:rPr>
                <w:sz w:val="20"/>
                <w:szCs w:val="20"/>
                <w:lang w:val="en-US"/>
              </w:rPr>
            </w:pPr>
          </w:p>
          <w:p w14:paraId="5D26449E" w14:textId="77777777" w:rsidR="00542633" w:rsidRPr="00EF5298" w:rsidRDefault="00542633" w:rsidP="00827BED">
            <w:pPr>
              <w:ind w:left="34"/>
              <w:contextualSpacing/>
              <w:jc w:val="both"/>
              <w:rPr>
                <w:sz w:val="20"/>
                <w:szCs w:val="20"/>
                <w:lang w:val="en-US"/>
              </w:rPr>
            </w:pPr>
          </w:p>
          <w:p w14:paraId="2023376B" w14:textId="77777777" w:rsidR="00542633" w:rsidRPr="00EF5298" w:rsidRDefault="00542633" w:rsidP="00827BED">
            <w:pPr>
              <w:ind w:left="34"/>
              <w:contextualSpacing/>
              <w:jc w:val="both"/>
              <w:rPr>
                <w:sz w:val="20"/>
                <w:szCs w:val="20"/>
                <w:lang w:val="en-US"/>
              </w:rPr>
            </w:pPr>
          </w:p>
          <w:p w14:paraId="0211CB6F" w14:textId="77777777" w:rsidR="00542633" w:rsidRPr="00EF5298" w:rsidRDefault="00542633" w:rsidP="00827BED">
            <w:pPr>
              <w:ind w:left="34"/>
              <w:contextualSpacing/>
              <w:jc w:val="both"/>
              <w:rPr>
                <w:sz w:val="20"/>
                <w:szCs w:val="20"/>
                <w:lang w:val="en-US"/>
              </w:rPr>
            </w:pPr>
          </w:p>
          <w:p w14:paraId="7FB60057" w14:textId="77777777" w:rsidR="00542633" w:rsidRPr="00EF5298" w:rsidRDefault="00542633" w:rsidP="00827BED">
            <w:pPr>
              <w:ind w:left="34"/>
              <w:contextualSpacing/>
              <w:jc w:val="both"/>
              <w:rPr>
                <w:sz w:val="20"/>
                <w:szCs w:val="20"/>
                <w:lang w:val="en-US"/>
              </w:rPr>
            </w:pPr>
          </w:p>
          <w:p w14:paraId="04381175" w14:textId="77777777" w:rsidR="00542633" w:rsidRPr="00EF5298" w:rsidRDefault="00542633" w:rsidP="00827BED">
            <w:pPr>
              <w:ind w:left="34"/>
              <w:contextualSpacing/>
              <w:jc w:val="both"/>
              <w:rPr>
                <w:sz w:val="20"/>
                <w:szCs w:val="20"/>
                <w:lang w:val="en-US"/>
              </w:rPr>
            </w:pPr>
          </w:p>
          <w:p w14:paraId="760265AE" w14:textId="77777777" w:rsidR="00542633" w:rsidRPr="00EF5298" w:rsidRDefault="00542633" w:rsidP="00827BED">
            <w:pPr>
              <w:ind w:left="34"/>
              <w:contextualSpacing/>
              <w:jc w:val="both"/>
              <w:rPr>
                <w:sz w:val="20"/>
                <w:szCs w:val="20"/>
                <w:lang w:val="en-US"/>
              </w:rPr>
            </w:pPr>
          </w:p>
          <w:p w14:paraId="5503BC8B" w14:textId="77777777" w:rsidR="00542633" w:rsidRPr="00EF5298" w:rsidRDefault="00542633" w:rsidP="00827BED">
            <w:pPr>
              <w:ind w:left="34"/>
              <w:contextualSpacing/>
              <w:jc w:val="both"/>
              <w:rPr>
                <w:sz w:val="20"/>
                <w:szCs w:val="20"/>
                <w:lang w:val="en-US"/>
              </w:rPr>
            </w:pPr>
          </w:p>
          <w:p w14:paraId="0B6515EA" w14:textId="77777777" w:rsidR="00542633" w:rsidRPr="00EF5298" w:rsidRDefault="00542633" w:rsidP="00827BED">
            <w:pPr>
              <w:ind w:left="34"/>
              <w:contextualSpacing/>
              <w:jc w:val="both"/>
              <w:rPr>
                <w:sz w:val="20"/>
                <w:szCs w:val="20"/>
                <w:lang w:val="en-US"/>
              </w:rPr>
            </w:pPr>
          </w:p>
          <w:p w14:paraId="40065753" w14:textId="77777777" w:rsidR="00542633" w:rsidRDefault="00542633" w:rsidP="00D33B88">
            <w:pPr>
              <w:ind w:left="34"/>
              <w:contextualSpacing/>
              <w:jc w:val="both"/>
              <w:rPr>
                <w:sz w:val="20"/>
                <w:szCs w:val="20"/>
                <w:lang w:val="en-US"/>
              </w:rPr>
            </w:pPr>
            <w:r w:rsidRPr="00EF5298">
              <w:rPr>
                <w:sz w:val="20"/>
                <w:szCs w:val="20"/>
                <w:lang w:val="en-US"/>
              </w:rPr>
              <w:t xml:space="preserve">Proposal not taken into account. </w:t>
            </w:r>
          </w:p>
          <w:p w14:paraId="4E50D029" w14:textId="77777777" w:rsidR="00542633" w:rsidRPr="00EF5298" w:rsidRDefault="00542633" w:rsidP="00D33B88">
            <w:pPr>
              <w:ind w:left="34"/>
              <w:contextualSpacing/>
              <w:jc w:val="both"/>
              <w:rPr>
                <w:sz w:val="20"/>
                <w:szCs w:val="20"/>
                <w:lang w:val="en-US"/>
              </w:rPr>
            </w:pPr>
            <w:r w:rsidRPr="00EF5298">
              <w:rPr>
                <w:sz w:val="20"/>
                <w:szCs w:val="20"/>
                <w:lang w:val="en-US"/>
              </w:rPr>
              <w:t>There is one matching procedure and application of “lesser rule” is internal part of it. Network users have right to change nominations in next matching cycle.</w:t>
            </w:r>
          </w:p>
          <w:p w14:paraId="0D4E99E7" w14:textId="77777777" w:rsidR="00542633" w:rsidRPr="00EF5298" w:rsidRDefault="00542633" w:rsidP="00D33B88">
            <w:pPr>
              <w:ind w:left="34"/>
              <w:contextualSpacing/>
              <w:jc w:val="both"/>
              <w:rPr>
                <w:sz w:val="20"/>
                <w:szCs w:val="20"/>
                <w:lang w:val="en-US"/>
              </w:rPr>
            </w:pPr>
          </w:p>
          <w:p w14:paraId="1B72E0B4" w14:textId="77777777" w:rsidR="00542633" w:rsidRPr="00EF5298" w:rsidRDefault="00542633" w:rsidP="00436EC2">
            <w:pPr>
              <w:ind w:left="34"/>
              <w:contextualSpacing/>
              <w:jc w:val="both"/>
              <w:rPr>
                <w:sz w:val="20"/>
                <w:szCs w:val="20"/>
                <w:lang w:val="en-US"/>
              </w:rPr>
            </w:pPr>
            <w:r w:rsidRPr="00EF5298">
              <w:rPr>
                <w:sz w:val="20"/>
                <w:szCs w:val="20"/>
                <w:lang w:val="en-US"/>
              </w:rPr>
              <w:t>TSOs in n</w:t>
            </w:r>
            <w:r>
              <w:rPr>
                <w:sz w:val="20"/>
                <w:szCs w:val="20"/>
                <w:lang w:val="en-US"/>
              </w:rPr>
              <w:t>o</w:t>
            </w:r>
            <w:r w:rsidRPr="00EF5298">
              <w:rPr>
                <w:sz w:val="20"/>
                <w:szCs w:val="20"/>
                <w:lang w:val="en-US"/>
              </w:rPr>
              <w:t xml:space="preserve"> way </w:t>
            </w:r>
            <w:r>
              <w:rPr>
                <w:sz w:val="20"/>
                <w:szCs w:val="20"/>
                <w:lang w:val="en-US"/>
              </w:rPr>
              <w:t>are able to</w:t>
            </w:r>
            <w:r w:rsidRPr="00EF5298">
              <w:rPr>
                <w:sz w:val="20"/>
                <w:szCs w:val="20"/>
                <w:lang w:val="en-US"/>
              </w:rPr>
              <w:t xml:space="preserve"> regulate secondary capacity trade pricing as TSOs have not</w:t>
            </w:r>
            <w:r>
              <w:rPr>
                <w:sz w:val="20"/>
                <w:szCs w:val="20"/>
                <w:lang w:val="en-US"/>
              </w:rPr>
              <w:t xml:space="preserve"> authority of price regulation.</w:t>
            </w:r>
          </w:p>
        </w:tc>
      </w:tr>
      <w:tr w:rsidR="00542633" w:rsidRPr="008B1593" w14:paraId="264EE889" w14:textId="77777777" w:rsidTr="00795AD6">
        <w:trPr>
          <w:trHeight w:val="659"/>
        </w:trPr>
        <w:tc>
          <w:tcPr>
            <w:tcW w:w="2830" w:type="dxa"/>
          </w:tcPr>
          <w:p w14:paraId="4A01D42A" w14:textId="77777777" w:rsidR="00542633" w:rsidRDefault="00542633" w:rsidP="00827BED">
            <w:pPr>
              <w:tabs>
                <w:tab w:val="left" w:pos="851"/>
              </w:tabs>
              <w:suppressAutoHyphens/>
              <w:jc w:val="both"/>
              <w:textAlignment w:val="baseline"/>
              <w:rPr>
                <w:sz w:val="20"/>
                <w:szCs w:val="20"/>
                <w:lang w:val="en-US" w:eastAsia="lt-LT"/>
              </w:rPr>
            </w:pPr>
            <w:r>
              <w:rPr>
                <w:sz w:val="20"/>
                <w:szCs w:val="20"/>
                <w:lang w:val="en-US" w:eastAsia="lt-LT"/>
              </w:rPr>
              <w:t xml:space="preserve">6.1.1.2. </w:t>
            </w:r>
            <w:r>
              <w:t xml:space="preserve"> </w:t>
            </w:r>
            <w:r w:rsidRPr="00BC6CE3">
              <w:rPr>
                <w:sz w:val="20"/>
                <w:szCs w:val="20"/>
                <w:lang w:val="en-US" w:eastAsia="lt-LT"/>
              </w:rPr>
              <w:t>If quantity in nomination is bigger than capacity booked by network user for relevant gas day in all entry-exit points except IPs where capacity booking is applied, the nomination exceeding booked capacity for gas day D shall be considered as capacity booking application for additional firm daily capacity.</w:t>
            </w:r>
          </w:p>
        </w:tc>
        <w:tc>
          <w:tcPr>
            <w:tcW w:w="6521" w:type="dxa"/>
          </w:tcPr>
          <w:p w14:paraId="43351A1C" w14:textId="3DB63620" w:rsidR="00542633" w:rsidRDefault="00B83638" w:rsidP="00827BED">
            <w:pPr>
              <w:ind w:left="34"/>
              <w:contextualSpacing/>
              <w:jc w:val="both"/>
              <w:rPr>
                <w:b/>
                <w:sz w:val="20"/>
                <w:szCs w:val="20"/>
                <w:lang w:val="en-US"/>
              </w:rPr>
            </w:pPr>
            <w:r>
              <w:rPr>
                <w:b/>
                <w:sz w:val="20"/>
                <w:szCs w:val="20"/>
                <w:lang w:val="en-US"/>
              </w:rPr>
              <w:t>Stakeholder 3</w:t>
            </w:r>
            <w:r w:rsidR="00542633">
              <w:rPr>
                <w:b/>
                <w:sz w:val="20"/>
                <w:szCs w:val="20"/>
                <w:lang w:val="en-US"/>
              </w:rPr>
              <w:t xml:space="preserve">: </w:t>
            </w:r>
            <w:r w:rsidR="00542633">
              <w:t xml:space="preserve"> </w:t>
            </w:r>
            <w:r w:rsidR="00542633" w:rsidRPr="00BC6CE3">
              <w:rPr>
                <w:sz w:val="20"/>
                <w:szCs w:val="20"/>
                <w:lang w:val="en-US"/>
              </w:rPr>
              <w:t xml:space="preserve">Please explain in more details par. 6.1.1.2. It states that if nomination exceeds booked capacity, the application will be considered as capacity booking for additional firm daily capacity but only at IPs where capacity booking is not applied. The question then </w:t>
            </w:r>
            <w:r w:rsidR="000C639F" w:rsidRPr="00BC6CE3">
              <w:rPr>
                <w:sz w:val="20"/>
                <w:szCs w:val="20"/>
                <w:lang w:val="en-US"/>
              </w:rPr>
              <w:t>arise</w:t>
            </w:r>
            <w:r w:rsidR="00542633" w:rsidRPr="00BC6CE3">
              <w:rPr>
                <w:sz w:val="20"/>
                <w:szCs w:val="20"/>
                <w:lang w:val="en-US"/>
              </w:rPr>
              <w:t xml:space="preserve"> what capacity is considered to be book automatically if there are no capacities at those points?</w:t>
            </w:r>
          </w:p>
        </w:tc>
        <w:tc>
          <w:tcPr>
            <w:tcW w:w="6343" w:type="dxa"/>
          </w:tcPr>
          <w:p w14:paraId="67378F9E" w14:textId="300CC75C" w:rsidR="00542633" w:rsidRPr="00EF5298" w:rsidRDefault="00542633" w:rsidP="00D33B88">
            <w:pPr>
              <w:ind w:left="34"/>
              <w:contextualSpacing/>
              <w:jc w:val="both"/>
              <w:rPr>
                <w:sz w:val="20"/>
                <w:szCs w:val="20"/>
                <w:lang w:val="en-US"/>
              </w:rPr>
            </w:pPr>
            <w:r w:rsidRPr="002A03D5">
              <w:rPr>
                <w:sz w:val="20"/>
                <w:szCs w:val="20"/>
                <w:lang w:val="en-US"/>
              </w:rPr>
              <w:t>Current provision will be updated to clear</w:t>
            </w:r>
            <w:r w:rsidR="000C639F">
              <w:rPr>
                <w:sz w:val="20"/>
                <w:szCs w:val="20"/>
                <w:lang w:val="en-US"/>
              </w:rPr>
              <w:t>l</w:t>
            </w:r>
            <w:r w:rsidRPr="002A03D5">
              <w:rPr>
                <w:sz w:val="20"/>
                <w:szCs w:val="20"/>
                <w:lang w:val="en-US"/>
              </w:rPr>
              <w:t>y give indication on the overnomination for within day capacity only for interruptible capacity as stated in balancing network code.</w:t>
            </w:r>
          </w:p>
        </w:tc>
      </w:tr>
      <w:tr w:rsidR="00542633" w:rsidRPr="008B1593" w14:paraId="55442D95" w14:textId="77777777" w:rsidTr="00795AD6">
        <w:trPr>
          <w:trHeight w:val="659"/>
        </w:trPr>
        <w:tc>
          <w:tcPr>
            <w:tcW w:w="2830" w:type="dxa"/>
          </w:tcPr>
          <w:p w14:paraId="3C3BA94F" w14:textId="77777777" w:rsidR="00542633" w:rsidRPr="008B1593" w:rsidRDefault="00542633" w:rsidP="00827BED">
            <w:pPr>
              <w:tabs>
                <w:tab w:val="left" w:pos="851"/>
              </w:tabs>
              <w:suppressAutoHyphens/>
              <w:jc w:val="both"/>
              <w:textAlignment w:val="baseline"/>
              <w:rPr>
                <w:sz w:val="20"/>
                <w:szCs w:val="20"/>
                <w:lang w:val="en-US" w:eastAsia="lt-LT"/>
              </w:rPr>
            </w:pPr>
            <w:r>
              <w:rPr>
                <w:sz w:val="20"/>
                <w:szCs w:val="20"/>
                <w:lang w:val="en-US" w:eastAsia="lt-LT"/>
              </w:rPr>
              <w:t xml:space="preserve">6.3.4.2. </w:t>
            </w:r>
            <w:r w:rsidRPr="000E7232">
              <w:rPr>
                <w:sz w:val="20"/>
                <w:szCs w:val="20"/>
                <w:lang w:val="en-US" w:eastAsia="lt-LT"/>
              </w:rPr>
              <w:t>the network user may adjust the confirmed nominations for the remaining hours of gas day D-1 from 3.00 UTC winter time and 2.00 UTC daylight saving time (5:00 local time) (on gas day D- 1 and until 2.00 UTC winter time and 1.00 UTC daylight saving time (4.00 local time) on gas</w:t>
            </w:r>
            <w:r>
              <w:rPr>
                <w:sz w:val="20"/>
                <w:szCs w:val="20"/>
                <w:lang w:val="en-US" w:eastAsia="lt-LT"/>
              </w:rPr>
              <w:t xml:space="preserve"> day D;</w:t>
            </w:r>
          </w:p>
        </w:tc>
        <w:tc>
          <w:tcPr>
            <w:tcW w:w="6521" w:type="dxa"/>
          </w:tcPr>
          <w:p w14:paraId="57DB17DC" w14:textId="4F2FBB1F" w:rsidR="00542633" w:rsidRPr="008B1593" w:rsidRDefault="00B83638" w:rsidP="00827BED">
            <w:pPr>
              <w:ind w:left="34"/>
              <w:contextualSpacing/>
              <w:jc w:val="both"/>
              <w:rPr>
                <w:b/>
                <w:sz w:val="20"/>
                <w:szCs w:val="20"/>
                <w:lang w:val="en-US"/>
              </w:rPr>
            </w:pPr>
            <w:r>
              <w:rPr>
                <w:b/>
                <w:sz w:val="20"/>
                <w:szCs w:val="20"/>
                <w:lang w:val="en-US"/>
              </w:rPr>
              <w:t>Stakeholder 2</w:t>
            </w:r>
            <w:r w:rsidR="00542633">
              <w:rPr>
                <w:b/>
                <w:sz w:val="20"/>
                <w:szCs w:val="20"/>
                <w:lang w:val="en-US"/>
              </w:rPr>
              <w:t xml:space="preserve">: </w:t>
            </w:r>
            <w:r w:rsidR="00542633">
              <w:t xml:space="preserve"> </w:t>
            </w:r>
            <w:r w:rsidR="00542633" w:rsidRPr="000E7232">
              <w:rPr>
                <w:sz w:val="20"/>
                <w:szCs w:val="20"/>
                <w:lang w:val="en-US"/>
              </w:rPr>
              <w:t>Should it be: the network user may adjust the confirmed nominations for the remaining hours of gas day D from 3.00 UTC …</w:t>
            </w:r>
          </w:p>
        </w:tc>
        <w:tc>
          <w:tcPr>
            <w:tcW w:w="6343" w:type="dxa"/>
          </w:tcPr>
          <w:p w14:paraId="0B2F3CCD" w14:textId="77777777" w:rsidR="00542633" w:rsidRPr="00EF5298" w:rsidRDefault="00542633" w:rsidP="000F5919">
            <w:pPr>
              <w:ind w:left="34"/>
              <w:contextualSpacing/>
              <w:jc w:val="both"/>
              <w:rPr>
                <w:sz w:val="20"/>
                <w:szCs w:val="20"/>
                <w:lang w:val="en-US"/>
              </w:rPr>
            </w:pPr>
            <w:r w:rsidRPr="00EF5298">
              <w:rPr>
                <w:sz w:val="20"/>
                <w:szCs w:val="20"/>
                <w:lang w:val="en-US"/>
              </w:rPr>
              <w:t>No, within day process begins on p</w:t>
            </w:r>
            <w:r>
              <w:rPr>
                <w:sz w:val="20"/>
                <w:szCs w:val="20"/>
                <w:lang w:val="en-US"/>
              </w:rPr>
              <w:t>revious day, right after first m</w:t>
            </w:r>
            <w:r w:rsidRPr="00EF5298">
              <w:rPr>
                <w:sz w:val="20"/>
                <w:szCs w:val="20"/>
                <w:lang w:val="en-US"/>
              </w:rPr>
              <w:t>atching procedure.</w:t>
            </w:r>
          </w:p>
        </w:tc>
      </w:tr>
      <w:tr w:rsidR="00542633" w:rsidRPr="008B1593" w14:paraId="2E7DE8A1" w14:textId="77777777" w:rsidTr="00795AD6">
        <w:trPr>
          <w:trHeight w:val="659"/>
        </w:trPr>
        <w:tc>
          <w:tcPr>
            <w:tcW w:w="2830" w:type="dxa"/>
          </w:tcPr>
          <w:p w14:paraId="33957ECD" w14:textId="77777777" w:rsidR="00542633" w:rsidRPr="008B1593" w:rsidRDefault="00542633" w:rsidP="00827BED">
            <w:pPr>
              <w:tabs>
                <w:tab w:val="left" w:pos="851"/>
              </w:tabs>
              <w:suppressAutoHyphens/>
              <w:jc w:val="both"/>
              <w:textAlignment w:val="baseline"/>
              <w:rPr>
                <w:sz w:val="20"/>
                <w:szCs w:val="20"/>
                <w:lang w:val="en-US" w:eastAsia="lt-LT"/>
              </w:rPr>
            </w:pPr>
            <w:r w:rsidRPr="008B1593">
              <w:rPr>
                <w:sz w:val="20"/>
                <w:szCs w:val="20"/>
                <w:lang w:val="en-US" w:eastAsia="lt-LT"/>
              </w:rPr>
              <w:t>6.5. Nomination Matching</w:t>
            </w:r>
          </w:p>
          <w:p w14:paraId="092E57DE" w14:textId="77777777" w:rsidR="00542633" w:rsidRPr="008B1593" w:rsidRDefault="00542633" w:rsidP="00827BED">
            <w:pPr>
              <w:tabs>
                <w:tab w:val="left" w:pos="851"/>
              </w:tabs>
              <w:suppressAutoHyphens/>
              <w:jc w:val="both"/>
              <w:textAlignment w:val="baseline"/>
              <w:rPr>
                <w:sz w:val="20"/>
                <w:szCs w:val="20"/>
                <w:lang w:val="en-US" w:eastAsia="lt-LT"/>
              </w:rPr>
            </w:pPr>
            <w:r w:rsidRPr="008B1593">
              <w:rPr>
                <w:sz w:val="20"/>
                <w:szCs w:val="20"/>
                <w:lang w:val="en-US" w:eastAsia="lt-LT"/>
              </w:rPr>
              <w:t>&lt;...&gt;</w:t>
            </w:r>
          </w:p>
          <w:p w14:paraId="51ED8782" w14:textId="77777777" w:rsidR="00542633" w:rsidRPr="008B1593" w:rsidRDefault="00542633" w:rsidP="00827BED">
            <w:pPr>
              <w:tabs>
                <w:tab w:val="left" w:pos="851"/>
              </w:tabs>
              <w:suppressAutoHyphens/>
              <w:jc w:val="both"/>
              <w:textAlignment w:val="baseline"/>
              <w:rPr>
                <w:sz w:val="20"/>
                <w:szCs w:val="20"/>
                <w:lang w:val="en-US" w:eastAsia="lt-LT"/>
              </w:rPr>
            </w:pPr>
            <w:r w:rsidRPr="008B1593">
              <w:rPr>
                <w:sz w:val="20"/>
                <w:szCs w:val="20"/>
                <w:lang w:val="en-US" w:eastAsia="lt-LT"/>
              </w:rPr>
              <w:t>6.5.3 Matching rule for the UGS shall be as follows:</w:t>
            </w:r>
          </w:p>
          <w:p w14:paraId="20747858" w14:textId="77777777" w:rsidR="00542633" w:rsidRPr="008B1593" w:rsidRDefault="00542633" w:rsidP="00827BED">
            <w:pPr>
              <w:tabs>
                <w:tab w:val="left" w:pos="851"/>
              </w:tabs>
              <w:suppressAutoHyphens/>
              <w:jc w:val="both"/>
              <w:textAlignment w:val="baseline"/>
              <w:rPr>
                <w:sz w:val="20"/>
                <w:szCs w:val="20"/>
                <w:lang w:val="en-US" w:eastAsia="lt-LT"/>
              </w:rPr>
            </w:pPr>
            <w:r w:rsidRPr="008B1593">
              <w:rPr>
                <w:sz w:val="20"/>
                <w:szCs w:val="20"/>
                <w:lang w:val="en-US" w:eastAsia="lt-LT"/>
              </w:rPr>
              <w:lastRenderedPageBreak/>
              <w:t>6.5.3.1 The Lesser Rule principle shall not be applicable at the entry point of the transmission system from the entry/exit point of UGS if the UGS operator in accordance with the or rules of use of UGS unilaterally adjusts nominations submitted by the users of UGS. In this case, nomination submitted by the network user shall be adjusted and approved in accordance with the nomination unilaterally adjusted by the UGS operator;</w:t>
            </w:r>
          </w:p>
          <w:p w14:paraId="2F3993F3" w14:textId="77777777" w:rsidR="00542633" w:rsidRPr="008B1593" w:rsidRDefault="00542633" w:rsidP="00827BED">
            <w:pPr>
              <w:tabs>
                <w:tab w:val="left" w:pos="851"/>
              </w:tabs>
              <w:suppressAutoHyphens/>
              <w:jc w:val="both"/>
              <w:textAlignment w:val="baseline"/>
              <w:rPr>
                <w:sz w:val="20"/>
                <w:szCs w:val="20"/>
                <w:lang w:val="en-US" w:eastAsia="lt-LT"/>
              </w:rPr>
            </w:pPr>
            <w:r w:rsidRPr="008B1593">
              <w:rPr>
                <w:sz w:val="20"/>
                <w:szCs w:val="20"/>
                <w:lang w:val="en-US" w:eastAsia="lt-LT"/>
              </w:rPr>
              <w:t>6.5.3.2. After the matching of the quantity of natural gas flow with the adjacent TSO, the UGS operator or the application of the Lesser Rule, the nomination shall be  deemed to be confirmed and the TSO shall send  to the network user the notification set out in Article 6.3.6. Upon confirmation of the nomination, the TSO shall inform the adjacent transmission system operator or the UGS operator</w:t>
            </w:r>
          </w:p>
        </w:tc>
        <w:tc>
          <w:tcPr>
            <w:tcW w:w="6521" w:type="dxa"/>
          </w:tcPr>
          <w:p w14:paraId="4EED8BCC" w14:textId="38FDEDA1" w:rsidR="00542633" w:rsidRPr="008B1593" w:rsidRDefault="00B83638" w:rsidP="00827BED">
            <w:pPr>
              <w:ind w:left="34"/>
              <w:contextualSpacing/>
              <w:jc w:val="both"/>
              <w:rPr>
                <w:sz w:val="20"/>
                <w:szCs w:val="20"/>
                <w:lang w:val="en-US"/>
              </w:rPr>
            </w:pPr>
            <w:r>
              <w:rPr>
                <w:b/>
                <w:sz w:val="20"/>
                <w:szCs w:val="20"/>
                <w:lang w:val="en-US"/>
              </w:rPr>
              <w:lastRenderedPageBreak/>
              <w:t>Stakeholder 1</w:t>
            </w:r>
            <w:r w:rsidR="00542633">
              <w:rPr>
                <w:b/>
                <w:lang w:val="en-US"/>
              </w:rPr>
              <w:t>:</w:t>
            </w:r>
            <w:r w:rsidR="00542633" w:rsidRPr="008B1593">
              <w:rPr>
                <w:b/>
                <w:sz w:val="20"/>
                <w:szCs w:val="20"/>
                <w:lang w:val="en-US"/>
              </w:rPr>
              <w:t xml:space="preserve"> </w:t>
            </w:r>
            <w:r w:rsidR="00542633" w:rsidRPr="008B1593">
              <w:rPr>
                <w:sz w:val="20"/>
                <w:szCs w:val="20"/>
                <w:lang w:val="en-US"/>
              </w:rPr>
              <w:t xml:space="preserve">TSO should set a non-discriminatory, transparent rules by oneself. TSO rules should provide stability and clarity of what rules are applied for market participants and future market participants. TSO decision for entry </w:t>
            </w:r>
            <w:r w:rsidR="00542633" w:rsidRPr="008B1593">
              <w:rPr>
                <w:sz w:val="20"/>
                <w:szCs w:val="20"/>
                <w:lang w:val="en-US"/>
              </w:rPr>
              <w:lastRenderedPageBreak/>
              <w:t>exit points does not necessary has to depend on the rules applied by other operators.</w:t>
            </w:r>
          </w:p>
          <w:p w14:paraId="0A18E5A2" w14:textId="77777777" w:rsidR="00542633" w:rsidRPr="008B1593" w:rsidRDefault="00542633" w:rsidP="00827BED">
            <w:pPr>
              <w:ind w:left="34"/>
              <w:contextualSpacing/>
              <w:jc w:val="both"/>
              <w:rPr>
                <w:sz w:val="20"/>
                <w:szCs w:val="20"/>
                <w:lang w:val="en-US"/>
              </w:rPr>
            </w:pPr>
            <w:r w:rsidRPr="008B1593">
              <w:rPr>
                <w:sz w:val="20"/>
                <w:szCs w:val="20"/>
                <w:lang w:val="en-US"/>
              </w:rPr>
              <w:t>We suggest setting clear rules in the current version of this document by cooperating with SSO since SSO is the same entity as the LV TSO. Since this document is related with SSO rules, we suggesting to consult and amend SSO rules as well if needed in the context of creation of a common balancing zone.</w:t>
            </w:r>
          </w:p>
          <w:p w14:paraId="782E2721" w14:textId="77777777" w:rsidR="00542633" w:rsidRPr="008B1593" w:rsidRDefault="00542633" w:rsidP="00827BED">
            <w:pPr>
              <w:ind w:left="34"/>
              <w:contextualSpacing/>
              <w:jc w:val="both"/>
              <w:rPr>
                <w:sz w:val="20"/>
                <w:szCs w:val="20"/>
                <w:lang w:val="en-US"/>
              </w:rPr>
            </w:pPr>
            <w:r w:rsidRPr="008B1593">
              <w:rPr>
                <w:sz w:val="20"/>
                <w:szCs w:val="20"/>
                <w:lang w:val="en-US"/>
              </w:rPr>
              <w:t>Also, please provide information if there a possibility to have congestions regarding UGS injection / withdrawal capacity. In this case appropriate mechanisms should be provided in order to solve this issue.</w:t>
            </w:r>
          </w:p>
        </w:tc>
        <w:tc>
          <w:tcPr>
            <w:tcW w:w="6343" w:type="dxa"/>
          </w:tcPr>
          <w:p w14:paraId="1DA00E6F" w14:textId="77777777" w:rsidR="00542633" w:rsidRPr="00EF5298" w:rsidRDefault="00542633" w:rsidP="00161A7E">
            <w:pPr>
              <w:ind w:left="34"/>
              <w:contextualSpacing/>
              <w:jc w:val="both"/>
              <w:rPr>
                <w:sz w:val="20"/>
                <w:szCs w:val="20"/>
                <w:lang w:val="en-US"/>
              </w:rPr>
            </w:pPr>
            <w:r w:rsidRPr="00EF5298">
              <w:rPr>
                <w:sz w:val="20"/>
                <w:szCs w:val="20"/>
                <w:lang w:val="en-US"/>
              </w:rPr>
              <w:lastRenderedPageBreak/>
              <w:t xml:space="preserve">Proposal </w:t>
            </w:r>
            <w:r>
              <w:rPr>
                <w:sz w:val="20"/>
                <w:szCs w:val="20"/>
                <w:lang w:val="en-US"/>
              </w:rPr>
              <w:t>taken into account.</w:t>
            </w:r>
          </w:p>
        </w:tc>
      </w:tr>
      <w:tr w:rsidR="00542633" w:rsidRPr="008B1593" w14:paraId="55B0FFD4" w14:textId="77777777" w:rsidTr="00795AD6">
        <w:trPr>
          <w:trHeight w:val="659"/>
        </w:trPr>
        <w:tc>
          <w:tcPr>
            <w:tcW w:w="2830" w:type="dxa"/>
          </w:tcPr>
          <w:p w14:paraId="2F523165" w14:textId="77777777" w:rsidR="00542633" w:rsidRPr="008B1593" w:rsidRDefault="00542633" w:rsidP="00827BED">
            <w:pPr>
              <w:tabs>
                <w:tab w:val="left" w:pos="851"/>
              </w:tabs>
              <w:suppressAutoHyphens/>
              <w:jc w:val="both"/>
              <w:textAlignment w:val="baseline"/>
              <w:rPr>
                <w:sz w:val="20"/>
                <w:szCs w:val="20"/>
                <w:lang w:val="en-US" w:eastAsia="lt-LT"/>
              </w:rPr>
            </w:pPr>
            <w:r w:rsidRPr="008B1593">
              <w:rPr>
                <w:sz w:val="20"/>
                <w:szCs w:val="20"/>
                <w:lang w:val="en-US" w:eastAsia="lt-LT"/>
              </w:rPr>
              <w:t>7. Allocation</w:t>
            </w:r>
          </w:p>
        </w:tc>
        <w:tc>
          <w:tcPr>
            <w:tcW w:w="6521" w:type="dxa"/>
          </w:tcPr>
          <w:p w14:paraId="7F3DBF69" w14:textId="290C78EE" w:rsidR="00542633" w:rsidRPr="008B1593" w:rsidRDefault="00B83638" w:rsidP="00827BED">
            <w:pPr>
              <w:ind w:left="34"/>
              <w:contextualSpacing/>
              <w:jc w:val="both"/>
              <w:rPr>
                <w:sz w:val="20"/>
                <w:szCs w:val="20"/>
                <w:lang w:val="en-US"/>
              </w:rPr>
            </w:pPr>
            <w:r>
              <w:rPr>
                <w:b/>
                <w:sz w:val="20"/>
                <w:szCs w:val="20"/>
                <w:lang w:val="en-US"/>
              </w:rPr>
              <w:t>Stakeholder 3</w:t>
            </w:r>
            <w:r w:rsidR="00542633" w:rsidRPr="00C211C1">
              <w:rPr>
                <w:b/>
                <w:sz w:val="20"/>
                <w:szCs w:val="20"/>
                <w:lang w:val="en-US"/>
              </w:rPr>
              <w:t>|:</w:t>
            </w:r>
            <w:r w:rsidR="00542633">
              <w:rPr>
                <w:sz w:val="20"/>
                <w:szCs w:val="20"/>
                <w:lang w:val="en-US"/>
              </w:rPr>
              <w:t xml:space="preserve"> </w:t>
            </w:r>
            <w:r w:rsidR="00542633" w:rsidRPr="00C211C1">
              <w:rPr>
                <w:sz w:val="20"/>
                <w:szCs w:val="20"/>
                <w:lang w:val="en-US"/>
              </w:rPr>
              <w:t>“Final allocation shall be available after update from UGS operator” – it is unclear from this what exactly will happen to the difference between nomination and final allocation? If 1 MWh is entered into system and nominated to UGS. And UGS final allocation is 0.5 MWh instead – will the remaining 0.5 MWh be sold for balancing gas that gas day?</w:t>
            </w:r>
            <w:r w:rsidR="00542633">
              <w:rPr>
                <w:sz w:val="20"/>
                <w:szCs w:val="20"/>
                <w:lang w:val="en-US"/>
              </w:rPr>
              <w:t xml:space="preserve"> </w:t>
            </w:r>
          </w:p>
        </w:tc>
        <w:tc>
          <w:tcPr>
            <w:tcW w:w="6343" w:type="dxa"/>
          </w:tcPr>
          <w:p w14:paraId="7EE52989" w14:textId="77777777" w:rsidR="00542633" w:rsidRPr="00EF5298" w:rsidRDefault="00542633" w:rsidP="00827BED">
            <w:pPr>
              <w:ind w:left="34"/>
              <w:contextualSpacing/>
              <w:jc w:val="both"/>
              <w:rPr>
                <w:sz w:val="20"/>
                <w:szCs w:val="20"/>
                <w:lang w:val="en-US"/>
              </w:rPr>
            </w:pPr>
            <w:r w:rsidRPr="00EF5298">
              <w:rPr>
                <w:sz w:val="20"/>
                <w:szCs w:val="20"/>
                <w:lang w:val="en-US"/>
              </w:rPr>
              <w:t>The general rule for allocation at Incukalns storage entry/exit point is that allocation is equal to confirmed nomination, however it is foreseen in future to allow storage users request change of allocated volumes to some extent. This provision is intended.to benefit users and make flexible storage usage for them, not to limit storage users</w:t>
            </w:r>
          </w:p>
        </w:tc>
      </w:tr>
      <w:tr w:rsidR="00542633" w:rsidRPr="008B1593" w14:paraId="2CFCDFB0" w14:textId="77777777" w:rsidTr="00795AD6">
        <w:trPr>
          <w:trHeight w:val="659"/>
        </w:trPr>
        <w:tc>
          <w:tcPr>
            <w:tcW w:w="2830" w:type="dxa"/>
          </w:tcPr>
          <w:p w14:paraId="025345AE" w14:textId="77777777" w:rsidR="00542633" w:rsidRPr="008B1593" w:rsidRDefault="00542633" w:rsidP="00827BED">
            <w:pPr>
              <w:tabs>
                <w:tab w:val="left" w:pos="851"/>
              </w:tabs>
              <w:suppressAutoHyphens/>
              <w:jc w:val="both"/>
              <w:textAlignment w:val="baseline"/>
              <w:rPr>
                <w:sz w:val="20"/>
                <w:szCs w:val="20"/>
                <w:lang w:val="en-US" w:eastAsia="lt-LT"/>
              </w:rPr>
            </w:pPr>
            <w:r w:rsidRPr="008B1593">
              <w:rPr>
                <w:sz w:val="20"/>
                <w:szCs w:val="20"/>
                <w:lang w:val="en-US" w:eastAsia="lt-LT"/>
              </w:rPr>
              <w:t>7.1.4. A network user’s allocation at entry points from 3rd countries shall be determined based on the following criteria:</w:t>
            </w:r>
          </w:p>
          <w:p w14:paraId="4FA4D9A2" w14:textId="77777777" w:rsidR="00542633" w:rsidRPr="008B1593" w:rsidRDefault="00542633" w:rsidP="00827BED">
            <w:pPr>
              <w:tabs>
                <w:tab w:val="left" w:pos="851"/>
              </w:tabs>
              <w:suppressAutoHyphens/>
              <w:jc w:val="both"/>
              <w:textAlignment w:val="baseline"/>
              <w:rPr>
                <w:sz w:val="20"/>
                <w:szCs w:val="20"/>
                <w:lang w:val="en-US" w:eastAsia="lt-LT"/>
              </w:rPr>
            </w:pPr>
            <w:r w:rsidRPr="008B1593">
              <w:rPr>
                <w:sz w:val="20"/>
                <w:szCs w:val="20"/>
                <w:lang w:val="en-US" w:eastAsia="lt-LT"/>
              </w:rPr>
              <w:t>7.1.4.1. Network user’s with fixed delivery agreement allocation shall be equal to the last confirmed nomination  or re-nomination;</w:t>
            </w:r>
          </w:p>
        </w:tc>
        <w:tc>
          <w:tcPr>
            <w:tcW w:w="6521" w:type="dxa"/>
          </w:tcPr>
          <w:p w14:paraId="023E0941" w14:textId="7E417797" w:rsidR="00542633" w:rsidRPr="008B1593" w:rsidRDefault="00B83638" w:rsidP="00827BED">
            <w:pPr>
              <w:ind w:left="34"/>
              <w:contextualSpacing/>
              <w:jc w:val="both"/>
              <w:rPr>
                <w:sz w:val="20"/>
                <w:szCs w:val="20"/>
                <w:lang w:val="en-US"/>
              </w:rPr>
            </w:pPr>
            <w:r>
              <w:rPr>
                <w:b/>
                <w:sz w:val="20"/>
                <w:szCs w:val="20"/>
                <w:lang w:val="en-US"/>
              </w:rPr>
              <w:t>Stakeholder 1</w:t>
            </w:r>
            <w:r w:rsidR="00542633">
              <w:rPr>
                <w:b/>
                <w:lang w:val="en-US"/>
              </w:rPr>
              <w:t>:</w:t>
            </w:r>
            <w:r w:rsidR="00542633" w:rsidRPr="008B1593">
              <w:rPr>
                <w:b/>
                <w:sz w:val="20"/>
                <w:szCs w:val="20"/>
                <w:lang w:val="en-US"/>
              </w:rPr>
              <w:t xml:space="preserve"> </w:t>
            </w:r>
            <w:r w:rsidR="00542633" w:rsidRPr="008B1593">
              <w:rPr>
                <w:sz w:val="20"/>
                <w:szCs w:val="20"/>
                <w:lang w:val="en-US"/>
              </w:rPr>
              <w:t>Access to the system has to be set regardless of the existing supply contracts. There should be clear separation of activities – TSO activity and supply activity. Other allocation rules should be used.</w:t>
            </w:r>
          </w:p>
          <w:p w14:paraId="20F5AE39" w14:textId="77777777" w:rsidR="00542633" w:rsidRPr="008B1593" w:rsidRDefault="00542633" w:rsidP="00827BED">
            <w:pPr>
              <w:ind w:left="34"/>
              <w:contextualSpacing/>
              <w:jc w:val="both"/>
              <w:rPr>
                <w:sz w:val="20"/>
                <w:szCs w:val="20"/>
                <w:lang w:val="en-US"/>
              </w:rPr>
            </w:pPr>
            <w:r w:rsidRPr="008B1593">
              <w:rPr>
                <w:sz w:val="20"/>
                <w:szCs w:val="20"/>
                <w:lang w:val="en-US"/>
              </w:rPr>
              <w:t>See more comments at “fixed delivery agreement” definition paragraph 2.58, 2.59 comment.</w:t>
            </w:r>
          </w:p>
        </w:tc>
        <w:tc>
          <w:tcPr>
            <w:tcW w:w="6343" w:type="dxa"/>
          </w:tcPr>
          <w:p w14:paraId="0C298F9D" w14:textId="2D65A8E3" w:rsidR="00542633" w:rsidRPr="00EF5298" w:rsidRDefault="00542633" w:rsidP="00827BED">
            <w:pPr>
              <w:ind w:left="34"/>
              <w:contextualSpacing/>
              <w:jc w:val="both"/>
              <w:rPr>
                <w:sz w:val="20"/>
                <w:szCs w:val="20"/>
                <w:lang w:val="en-US"/>
              </w:rPr>
            </w:pPr>
            <w:r w:rsidRPr="00EF5298">
              <w:rPr>
                <w:sz w:val="20"/>
                <w:szCs w:val="20"/>
                <w:lang w:val="en-US"/>
              </w:rPr>
              <w:t xml:space="preserve">Proposal not taken into account : Creating allocation rules not taking into account character of existing supply agreements would render created allocation rules useless/not applicable, due the fact that </w:t>
            </w:r>
            <w:r w:rsidR="000C639F" w:rsidRPr="00EF5298">
              <w:rPr>
                <w:sz w:val="20"/>
                <w:szCs w:val="20"/>
                <w:lang w:val="en-US"/>
              </w:rPr>
              <w:t>neig</w:t>
            </w:r>
            <w:r w:rsidR="000C639F">
              <w:rPr>
                <w:sz w:val="20"/>
                <w:szCs w:val="20"/>
                <w:lang w:val="en-US"/>
              </w:rPr>
              <w:t>h</w:t>
            </w:r>
            <w:r w:rsidR="000C639F" w:rsidRPr="00EF5298">
              <w:rPr>
                <w:sz w:val="20"/>
                <w:szCs w:val="20"/>
                <w:lang w:val="en-US"/>
              </w:rPr>
              <w:t>boring</w:t>
            </w:r>
            <w:r w:rsidRPr="00EF5298">
              <w:rPr>
                <w:sz w:val="20"/>
                <w:szCs w:val="20"/>
                <w:lang w:val="en-US"/>
              </w:rPr>
              <w:t xml:space="preserve"> TSO would be in position not confirm such quantities.</w:t>
            </w:r>
          </w:p>
        </w:tc>
      </w:tr>
      <w:tr w:rsidR="00542633" w:rsidRPr="008B1593" w14:paraId="17BF926A" w14:textId="77777777" w:rsidTr="00795AD6">
        <w:trPr>
          <w:trHeight w:val="659"/>
        </w:trPr>
        <w:tc>
          <w:tcPr>
            <w:tcW w:w="2830" w:type="dxa"/>
          </w:tcPr>
          <w:p w14:paraId="7C1E271E" w14:textId="77777777" w:rsidR="00542633" w:rsidRPr="008B1593" w:rsidRDefault="00542633" w:rsidP="00827BED">
            <w:pPr>
              <w:tabs>
                <w:tab w:val="left" w:pos="851"/>
              </w:tabs>
              <w:suppressAutoHyphens/>
              <w:jc w:val="both"/>
              <w:textAlignment w:val="baseline"/>
              <w:rPr>
                <w:sz w:val="20"/>
                <w:szCs w:val="20"/>
                <w:lang w:val="en-US" w:eastAsia="lt-LT"/>
              </w:rPr>
            </w:pPr>
            <w:r>
              <w:rPr>
                <w:sz w:val="20"/>
                <w:szCs w:val="20"/>
                <w:lang w:val="en-US" w:eastAsia="lt-LT"/>
              </w:rPr>
              <w:lastRenderedPageBreak/>
              <w:t xml:space="preserve">7.1.4.2. </w:t>
            </w:r>
            <w:r>
              <w:t xml:space="preserve"> </w:t>
            </w:r>
            <w:r w:rsidRPr="00E04F46">
              <w:rPr>
                <w:sz w:val="20"/>
                <w:szCs w:val="20"/>
                <w:lang w:val="en-US" w:eastAsia="lt-LT"/>
              </w:rPr>
              <w:t>If there is an agreement establishing operational balancing account  between adjacent operator or network user(s) and TSO, allocation shall be equal to nomination. The difference between the nominated flow and measured quantity shall be allocated to operational balancing account;</w:t>
            </w:r>
          </w:p>
        </w:tc>
        <w:tc>
          <w:tcPr>
            <w:tcW w:w="6521" w:type="dxa"/>
          </w:tcPr>
          <w:p w14:paraId="2BCFB557" w14:textId="65F7407A" w:rsidR="00542633" w:rsidRPr="00E04F46" w:rsidRDefault="00B83638" w:rsidP="00827BED">
            <w:pPr>
              <w:ind w:left="34"/>
              <w:contextualSpacing/>
              <w:jc w:val="both"/>
              <w:rPr>
                <w:sz w:val="20"/>
                <w:szCs w:val="20"/>
                <w:lang w:val="en-US"/>
              </w:rPr>
            </w:pPr>
            <w:r>
              <w:rPr>
                <w:b/>
                <w:sz w:val="20"/>
                <w:szCs w:val="20"/>
                <w:lang w:val="en-US"/>
              </w:rPr>
              <w:t>Stakeholder 2</w:t>
            </w:r>
            <w:r w:rsidR="00542633">
              <w:rPr>
                <w:sz w:val="20"/>
                <w:szCs w:val="20"/>
                <w:lang w:val="en-US"/>
              </w:rPr>
              <w:t xml:space="preserve">: </w:t>
            </w:r>
            <w:r w:rsidR="00542633">
              <w:t xml:space="preserve"> </w:t>
            </w:r>
            <w:r w:rsidR="00542633" w:rsidRPr="00E04F46">
              <w:rPr>
                <w:sz w:val="20"/>
                <w:szCs w:val="20"/>
                <w:lang w:val="en-US"/>
              </w:rPr>
              <w:t>Does that mean that either Latvian or Estonian TSO will seek possibility to enter into agreement with network user(s) in regard establishing OBA in regard interconnection point with 3’ rd countries?</w:t>
            </w:r>
          </w:p>
          <w:p w14:paraId="5A6CA5CB" w14:textId="77777777" w:rsidR="00542633" w:rsidRPr="00E04F46" w:rsidRDefault="00542633" w:rsidP="00827BED">
            <w:pPr>
              <w:ind w:left="34"/>
              <w:contextualSpacing/>
              <w:jc w:val="both"/>
              <w:rPr>
                <w:sz w:val="20"/>
                <w:szCs w:val="20"/>
                <w:lang w:val="en-US"/>
              </w:rPr>
            </w:pPr>
            <w:r w:rsidRPr="00E04F46">
              <w:rPr>
                <w:sz w:val="20"/>
                <w:szCs w:val="20"/>
                <w:lang w:val="en-US"/>
              </w:rPr>
              <w:t>We would like to express our support to such efforts.</w:t>
            </w:r>
          </w:p>
          <w:p w14:paraId="152138C3" w14:textId="77777777" w:rsidR="00542633" w:rsidRPr="008B1593" w:rsidRDefault="00542633" w:rsidP="00827BED">
            <w:pPr>
              <w:ind w:left="34"/>
              <w:contextualSpacing/>
              <w:jc w:val="both"/>
              <w:rPr>
                <w:sz w:val="20"/>
                <w:szCs w:val="20"/>
                <w:lang w:val="en-US"/>
              </w:rPr>
            </w:pPr>
            <w:r w:rsidRPr="00E04F46">
              <w:rPr>
                <w:sz w:val="20"/>
                <w:szCs w:val="20"/>
                <w:lang w:val="en-US"/>
              </w:rPr>
              <w:t>Does p. 7.1.4.4 refer to such agreement between network user(s) and TSO?</w:t>
            </w:r>
          </w:p>
        </w:tc>
        <w:tc>
          <w:tcPr>
            <w:tcW w:w="6343" w:type="dxa"/>
          </w:tcPr>
          <w:p w14:paraId="368B466A" w14:textId="77777777" w:rsidR="00542633" w:rsidRPr="00EF5298" w:rsidRDefault="00542633" w:rsidP="00827BED">
            <w:pPr>
              <w:ind w:left="34"/>
              <w:contextualSpacing/>
              <w:jc w:val="both"/>
              <w:rPr>
                <w:sz w:val="20"/>
                <w:szCs w:val="20"/>
                <w:lang w:val="en-US"/>
              </w:rPr>
            </w:pPr>
            <w:r w:rsidRPr="00EF5298">
              <w:rPr>
                <w:sz w:val="20"/>
                <w:szCs w:val="20"/>
                <w:lang w:val="en-US"/>
              </w:rPr>
              <w:t>This means that all network users with flexible agreement will be balancing shippers proportionally to transported volumes.</w:t>
            </w:r>
          </w:p>
        </w:tc>
      </w:tr>
      <w:tr w:rsidR="00542633" w:rsidRPr="008B1593" w14:paraId="769735B4" w14:textId="77777777" w:rsidTr="00795AD6">
        <w:trPr>
          <w:trHeight w:val="659"/>
        </w:trPr>
        <w:tc>
          <w:tcPr>
            <w:tcW w:w="2830" w:type="dxa"/>
          </w:tcPr>
          <w:p w14:paraId="2B609EDC" w14:textId="77777777" w:rsidR="00542633" w:rsidRPr="008B1593" w:rsidRDefault="00542633" w:rsidP="00827BED">
            <w:pPr>
              <w:tabs>
                <w:tab w:val="left" w:pos="851"/>
              </w:tabs>
              <w:suppressAutoHyphens/>
              <w:jc w:val="both"/>
              <w:textAlignment w:val="baseline"/>
              <w:rPr>
                <w:sz w:val="20"/>
                <w:szCs w:val="20"/>
                <w:lang w:val="en-US" w:eastAsia="lt-LT"/>
              </w:rPr>
            </w:pPr>
            <w:r w:rsidRPr="008B1593">
              <w:rPr>
                <w:sz w:val="20"/>
                <w:szCs w:val="20"/>
                <w:lang w:val="en-US" w:eastAsia="lt-LT"/>
              </w:rPr>
              <w:t xml:space="preserve">7.1.4.3. In case there is no agreement establishing operational balancing account, TSO shall allocate the difference between the nominated flow and the measured quantity </w:t>
            </w:r>
            <w:r w:rsidRPr="008B1593">
              <w:rPr>
                <w:b/>
                <w:sz w:val="20"/>
                <w:szCs w:val="20"/>
                <w:lang w:val="en-US" w:eastAsia="lt-LT"/>
              </w:rPr>
              <w:t>pro-rata</w:t>
            </w:r>
            <w:r w:rsidRPr="008B1593">
              <w:rPr>
                <w:sz w:val="20"/>
                <w:szCs w:val="20"/>
                <w:lang w:val="en-US" w:eastAsia="lt-LT"/>
              </w:rPr>
              <w:t xml:space="preserve"> to nominated gas quantity of all network users. Allocated gas quantity shall not exceed flexibility limits specified in network user</w:t>
            </w:r>
            <w:r>
              <w:rPr>
                <w:sz w:val="20"/>
                <w:szCs w:val="20"/>
                <w:lang w:val="en-US" w:eastAsia="lt-LT"/>
              </w:rPr>
              <w:t>’s flexible delivery agreement;</w:t>
            </w:r>
          </w:p>
        </w:tc>
        <w:tc>
          <w:tcPr>
            <w:tcW w:w="6521" w:type="dxa"/>
          </w:tcPr>
          <w:p w14:paraId="34BB3A29" w14:textId="7FFCEA99" w:rsidR="00542633" w:rsidRDefault="00B83638" w:rsidP="00827BED">
            <w:pPr>
              <w:ind w:left="34"/>
              <w:contextualSpacing/>
              <w:jc w:val="both"/>
              <w:rPr>
                <w:sz w:val="20"/>
                <w:szCs w:val="20"/>
                <w:lang w:val="en-US"/>
              </w:rPr>
            </w:pPr>
            <w:r>
              <w:rPr>
                <w:b/>
                <w:sz w:val="20"/>
                <w:szCs w:val="20"/>
                <w:lang w:val="en-US"/>
              </w:rPr>
              <w:t>Stakeholder 1</w:t>
            </w:r>
            <w:r w:rsidR="00542633">
              <w:rPr>
                <w:b/>
                <w:lang w:val="en-US"/>
              </w:rPr>
              <w:t>:</w:t>
            </w:r>
            <w:r w:rsidR="00542633" w:rsidRPr="008B1593">
              <w:rPr>
                <w:b/>
                <w:sz w:val="20"/>
                <w:szCs w:val="20"/>
                <w:lang w:val="en-US"/>
              </w:rPr>
              <w:t xml:space="preserve"> </w:t>
            </w:r>
            <w:r w:rsidR="00542633" w:rsidRPr="008B1593">
              <w:rPr>
                <w:sz w:val="20"/>
                <w:szCs w:val="20"/>
                <w:lang w:val="en-US"/>
              </w:rPr>
              <w:t xml:space="preserve">This allocation method could cause cross-subsidy between market participants regarding balancing. </w:t>
            </w:r>
          </w:p>
          <w:p w14:paraId="0DB30160" w14:textId="77777777" w:rsidR="00542633" w:rsidRPr="008B1593" w:rsidRDefault="00542633" w:rsidP="00827BED">
            <w:pPr>
              <w:contextualSpacing/>
              <w:jc w:val="both"/>
              <w:rPr>
                <w:sz w:val="20"/>
                <w:szCs w:val="20"/>
                <w:lang w:val="en-US"/>
              </w:rPr>
            </w:pPr>
          </w:p>
        </w:tc>
        <w:tc>
          <w:tcPr>
            <w:tcW w:w="6343" w:type="dxa"/>
          </w:tcPr>
          <w:p w14:paraId="2748887B" w14:textId="77777777" w:rsidR="00542633" w:rsidRPr="00EF5298" w:rsidRDefault="00542633" w:rsidP="001129D4">
            <w:pPr>
              <w:ind w:left="34"/>
              <w:contextualSpacing/>
              <w:jc w:val="both"/>
              <w:rPr>
                <w:sz w:val="20"/>
                <w:szCs w:val="20"/>
                <w:lang w:val="en-US"/>
              </w:rPr>
            </w:pPr>
            <w:r>
              <w:rPr>
                <w:sz w:val="20"/>
                <w:szCs w:val="20"/>
                <w:lang w:val="en-US"/>
              </w:rPr>
              <w:t>TSOs are working on the establishment of relevant operational balancing account arrangements and until any binding agreement is in place the alternative allocation measure is used.</w:t>
            </w:r>
          </w:p>
        </w:tc>
      </w:tr>
      <w:tr w:rsidR="00542633" w:rsidRPr="008B1593" w14:paraId="13838479" w14:textId="77777777" w:rsidTr="00795AD6">
        <w:trPr>
          <w:trHeight w:val="659"/>
        </w:trPr>
        <w:tc>
          <w:tcPr>
            <w:tcW w:w="2830" w:type="dxa"/>
          </w:tcPr>
          <w:p w14:paraId="21F4258A" w14:textId="77777777" w:rsidR="00542633" w:rsidRPr="008B1593" w:rsidRDefault="00542633" w:rsidP="00827BED">
            <w:pPr>
              <w:tabs>
                <w:tab w:val="left" w:pos="851"/>
              </w:tabs>
              <w:suppressAutoHyphens/>
              <w:jc w:val="both"/>
              <w:textAlignment w:val="baseline"/>
              <w:rPr>
                <w:sz w:val="20"/>
                <w:szCs w:val="20"/>
                <w:lang w:val="en-US" w:eastAsia="lt-LT"/>
              </w:rPr>
            </w:pPr>
            <w:r w:rsidRPr="008B1593">
              <w:rPr>
                <w:sz w:val="20"/>
                <w:szCs w:val="20"/>
                <w:lang w:val="en-US" w:eastAsia="lt-LT"/>
              </w:rPr>
              <w:t xml:space="preserve">7.1.4.4. If there is no flexible delivery contracts between network user(s) and TSO, then the difference between  the nominated flow and measured quantity shall be allocated </w:t>
            </w:r>
            <w:r w:rsidRPr="008B1593">
              <w:rPr>
                <w:b/>
                <w:sz w:val="20"/>
                <w:szCs w:val="20"/>
                <w:lang w:val="en-US" w:eastAsia="lt-LT"/>
              </w:rPr>
              <w:t>pro rata</w:t>
            </w:r>
            <w:r w:rsidRPr="008B1593">
              <w:rPr>
                <w:sz w:val="20"/>
                <w:szCs w:val="20"/>
                <w:lang w:val="en-US" w:eastAsia="lt-LT"/>
              </w:rPr>
              <w:t xml:space="preserve"> to all network users;</w:t>
            </w:r>
          </w:p>
        </w:tc>
        <w:tc>
          <w:tcPr>
            <w:tcW w:w="6521" w:type="dxa"/>
          </w:tcPr>
          <w:p w14:paraId="2E50EF62" w14:textId="16464004" w:rsidR="00542633" w:rsidRDefault="00B83638" w:rsidP="00827BED">
            <w:pPr>
              <w:ind w:left="34"/>
              <w:contextualSpacing/>
              <w:jc w:val="both"/>
              <w:rPr>
                <w:sz w:val="20"/>
                <w:szCs w:val="20"/>
                <w:lang w:val="en-US"/>
              </w:rPr>
            </w:pPr>
            <w:r>
              <w:rPr>
                <w:b/>
                <w:sz w:val="20"/>
                <w:szCs w:val="20"/>
                <w:lang w:val="en-US"/>
              </w:rPr>
              <w:t>Stakeholder 1</w:t>
            </w:r>
            <w:r w:rsidR="00542633">
              <w:rPr>
                <w:b/>
                <w:lang w:val="en-US"/>
              </w:rPr>
              <w:t>:</w:t>
            </w:r>
            <w:r w:rsidR="00542633" w:rsidRPr="008B1593">
              <w:rPr>
                <w:b/>
                <w:sz w:val="20"/>
                <w:szCs w:val="20"/>
                <w:lang w:val="en-US"/>
              </w:rPr>
              <w:t xml:space="preserve"> </w:t>
            </w:r>
            <w:r w:rsidR="00542633" w:rsidRPr="008B1593">
              <w:rPr>
                <w:sz w:val="20"/>
                <w:szCs w:val="20"/>
                <w:lang w:val="en-US"/>
              </w:rPr>
              <w:t xml:space="preserve">This allocation method could cause cross-subsidy between market participants regarding balancing. </w:t>
            </w:r>
          </w:p>
          <w:p w14:paraId="71FC4AAE" w14:textId="77777777" w:rsidR="00542633" w:rsidRDefault="00542633" w:rsidP="00827BED">
            <w:pPr>
              <w:ind w:left="34"/>
              <w:contextualSpacing/>
              <w:jc w:val="both"/>
              <w:rPr>
                <w:sz w:val="20"/>
                <w:szCs w:val="20"/>
                <w:lang w:val="en-US"/>
              </w:rPr>
            </w:pPr>
          </w:p>
          <w:p w14:paraId="76C9EB5F" w14:textId="2F4FC92F" w:rsidR="00542633" w:rsidRPr="00E04F46" w:rsidRDefault="00B83638" w:rsidP="00827BED">
            <w:pPr>
              <w:ind w:left="34"/>
              <w:contextualSpacing/>
              <w:jc w:val="both"/>
              <w:rPr>
                <w:sz w:val="20"/>
                <w:szCs w:val="20"/>
                <w:lang w:val="en-US"/>
              </w:rPr>
            </w:pPr>
            <w:r>
              <w:rPr>
                <w:b/>
                <w:sz w:val="20"/>
                <w:szCs w:val="20"/>
                <w:lang w:val="en-US"/>
              </w:rPr>
              <w:t>Stakeholder 2</w:t>
            </w:r>
            <w:r w:rsidR="00542633">
              <w:rPr>
                <w:sz w:val="20"/>
                <w:szCs w:val="20"/>
                <w:lang w:val="en-US"/>
              </w:rPr>
              <w:t xml:space="preserve">: </w:t>
            </w:r>
            <w:r w:rsidR="00542633">
              <w:t xml:space="preserve"> </w:t>
            </w:r>
            <w:r w:rsidR="00542633" w:rsidRPr="00E04F46">
              <w:rPr>
                <w:sz w:val="20"/>
                <w:szCs w:val="20"/>
                <w:lang w:val="en-US"/>
              </w:rPr>
              <w:t>Does that mean that either Latvian or Estonian TSO will seek possibility to enter into agreement with network user(s) in regard establishing OBA in regard interconnection point with 3’ rd countries?</w:t>
            </w:r>
          </w:p>
          <w:p w14:paraId="3B578696" w14:textId="77777777" w:rsidR="00542633" w:rsidRPr="00E04F46" w:rsidRDefault="00542633" w:rsidP="00827BED">
            <w:pPr>
              <w:ind w:left="34"/>
              <w:contextualSpacing/>
              <w:jc w:val="both"/>
              <w:rPr>
                <w:sz w:val="20"/>
                <w:szCs w:val="20"/>
                <w:lang w:val="en-US"/>
              </w:rPr>
            </w:pPr>
            <w:r w:rsidRPr="00E04F46">
              <w:rPr>
                <w:sz w:val="20"/>
                <w:szCs w:val="20"/>
                <w:lang w:val="en-US"/>
              </w:rPr>
              <w:t>We would like to express our support to such efforts.</w:t>
            </w:r>
          </w:p>
          <w:p w14:paraId="27D2F1B3" w14:textId="77777777" w:rsidR="00542633" w:rsidRPr="008B1593" w:rsidRDefault="00542633" w:rsidP="00827BED">
            <w:pPr>
              <w:ind w:left="34"/>
              <w:contextualSpacing/>
              <w:jc w:val="both"/>
              <w:rPr>
                <w:sz w:val="20"/>
                <w:szCs w:val="20"/>
                <w:lang w:val="en-US"/>
              </w:rPr>
            </w:pPr>
          </w:p>
        </w:tc>
        <w:tc>
          <w:tcPr>
            <w:tcW w:w="6343" w:type="dxa"/>
          </w:tcPr>
          <w:p w14:paraId="628F2542" w14:textId="77777777" w:rsidR="00542633" w:rsidRDefault="00542633" w:rsidP="00060A9C">
            <w:pPr>
              <w:ind w:left="34"/>
              <w:contextualSpacing/>
              <w:jc w:val="both"/>
              <w:rPr>
                <w:sz w:val="20"/>
                <w:szCs w:val="20"/>
                <w:lang w:val="en-US"/>
              </w:rPr>
            </w:pPr>
            <w:r>
              <w:rPr>
                <w:sz w:val="20"/>
                <w:szCs w:val="20"/>
                <w:lang w:val="en-US"/>
              </w:rPr>
              <w:t>TSOs are working on the establishment of relevant operational balancing account arrangements and until any binding agreement is in place the alternative allocation measure is used.</w:t>
            </w:r>
          </w:p>
          <w:p w14:paraId="28954EE3" w14:textId="77777777" w:rsidR="00542633" w:rsidRDefault="00542633" w:rsidP="00060A9C">
            <w:pPr>
              <w:ind w:left="34"/>
              <w:contextualSpacing/>
              <w:jc w:val="both"/>
              <w:rPr>
                <w:sz w:val="20"/>
                <w:szCs w:val="20"/>
                <w:lang w:val="en-US"/>
              </w:rPr>
            </w:pPr>
          </w:p>
          <w:p w14:paraId="03002240" w14:textId="77777777" w:rsidR="00542633" w:rsidRPr="00EF5298" w:rsidRDefault="00542633" w:rsidP="00060A9C">
            <w:pPr>
              <w:ind w:left="34"/>
              <w:contextualSpacing/>
              <w:jc w:val="both"/>
              <w:rPr>
                <w:sz w:val="20"/>
                <w:szCs w:val="20"/>
                <w:lang w:val="en-US"/>
              </w:rPr>
            </w:pPr>
            <w:r w:rsidRPr="00EF5298">
              <w:rPr>
                <w:sz w:val="20"/>
                <w:szCs w:val="20"/>
                <w:lang w:val="en-US"/>
              </w:rPr>
              <w:t xml:space="preserve">These provisions foresee that no </w:t>
            </w:r>
            <w:r>
              <w:rPr>
                <w:sz w:val="20"/>
                <w:szCs w:val="20"/>
                <w:lang w:val="en-US"/>
              </w:rPr>
              <w:t>operational balancing arrangements</w:t>
            </w:r>
            <w:r w:rsidRPr="00EF5298">
              <w:rPr>
                <w:sz w:val="20"/>
                <w:szCs w:val="20"/>
                <w:lang w:val="en-US"/>
              </w:rPr>
              <w:t xml:space="preserve"> </w:t>
            </w:r>
            <w:r>
              <w:rPr>
                <w:sz w:val="20"/>
                <w:szCs w:val="20"/>
                <w:lang w:val="en-US"/>
              </w:rPr>
              <w:t>are</w:t>
            </w:r>
            <w:r w:rsidRPr="00EF5298">
              <w:rPr>
                <w:sz w:val="20"/>
                <w:szCs w:val="20"/>
                <w:lang w:val="en-US"/>
              </w:rPr>
              <w:t xml:space="preserve"> </w:t>
            </w:r>
            <w:r>
              <w:rPr>
                <w:sz w:val="20"/>
                <w:szCs w:val="20"/>
                <w:lang w:val="en-US"/>
              </w:rPr>
              <w:t>necessary</w:t>
            </w:r>
            <w:r w:rsidRPr="00EF5298">
              <w:rPr>
                <w:sz w:val="20"/>
                <w:szCs w:val="20"/>
                <w:lang w:val="en-US"/>
              </w:rPr>
              <w:t xml:space="preserve"> with network users</w:t>
            </w:r>
            <w:r>
              <w:rPr>
                <w:sz w:val="20"/>
                <w:szCs w:val="20"/>
                <w:lang w:val="en-US"/>
              </w:rPr>
              <w:t xml:space="preserve"> as </w:t>
            </w:r>
            <w:r w:rsidRPr="00060A9C">
              <w:rPr>
                <w:sz w:val="20"/>
                <w:szCs w:val="20"/>
                <w:lang w:val="en-US"/>
              </w:rPr>
              <w:t>Commission Regulation (EU) 2015/703 of 30 April 2015 establishing a network code on interoperability and data exchange rules</w:t>
            </w:r>
            <w:r>
              <w:rPr>
                <w:sz w:val="20"/>
                <w:szCs w:val="20"/>
                <w:lang w:val="en-US"/>
              </w:rPr>
              <w:t xml:space="preserve"> provides such mechanism only between the transmission system operators</w:t>
            </w:r>
            <w:r w:rsidRPr="00EF5298">
              <w:rPr>
                <w:sz w:val="20"/>
                <w:szCs w:val="20"/>
                <w:lang w:val="en-US"/>
              </w:rPr>
              <w:t>.</w:t>
            </w:r>
          </w:p>
        </w:tc>
      </w:tr>
      <w:tr w:rsidR="00542633" w:rsidRPr="008B1593" w14:paraId="4C284E3D" w14:textId="77777777" w:rsidTr="00795AD6">
        <w:trPr>
          <w:trHeight w:val="659"/>
        </w:trPr>
        <w:tc>
          <w:tcPr>
            <w:tcW w:w="2830" w:type="dxa"/>
          </w:tcPr>
          <w:p w14:paraId="377DC743" w14:textId="77777777" w:rsidR="00542633" w:rsidRPr="008B1593" w:rsidRDefault="00542633" w:rsidP="00827BED">
            <w:pPr>
              <w:tabs>
                <w:tab w:val="left" w:pos="851"/>
              </w:tabs>
              <w:suppressAutoHyphens/>
              <w:jc w:val="both"/>
              <w:textAlignment w:val="baseline"/>
              <w:rPr>
                <w:sz w:val="20"/>
                <w:szCs w:val="20"/>
                <w:lang w:val="en-US" w:eastAsia="lt-LT"/>
              </w:rPr>
            </w:pPr>
            <w:r w:rsidRPr="008B1593">
              <w:rPr>
                <w:sz w:val="20"/>
                <w:szCs w:val="20"/>
                <w:lang w:val="en-US" w:eastAsia="lt-LT"/>
              </w:rPr>
              <w:t>7.1.5.1. At non-daily metered points:</w:t>
            </w:r>
          </w:p>
          <w:p w14:paraId="6F521CBE" w14:textId="77777777" w:rsidR="00542633" w:rsidRPr="008B1593" w:rsidRDefault="00542633" w:rsidP="00827BED">
            <w:pPr>
              <w:tabs>
                <w:tab w:val="left" w:pos="851"/>
              </w:tabs>
              <w:suppressAutoHyphens/>
              <w:jc w:val="both"/>
              <w:textAlignment w:val="baseline"/>
              <w:rPr>
                <w:sz w:val="20"/>
                <w:szCs w:val="20"/>
                <w:lang w:val="en-US" w:eastAsia="lt-LT"/>
              </w:rPr>
            </w:pPr>
            <w:r w:rsidRPr="008B1593">
              <w:rPr>
                <w:sz w:val="20"/>
                <w:szCs w:val="20"/>
                <w:lang w:val="en-US" w:eastAsia="lt-LT"/>
              </w:rPr>
              <w:t>a)</w:t>
            </w:r>
            <w:r w:rsidRPr="008B1593">
              <w:rPr>
                <w:sz w:val="20"/>
                <w:szCs w:val="20"/>
                <w:lang w:val="en-US" w:eastAsia="lt-LT"/>
              </w:rPr>
              <w:tab/>
              <w:t>to determine the daily gas volume submitted, daily gas consumption data provided by DSOs shall be used;</w:t>
            </w:r>
          </w:p>
        </w:tc>
        <w:tc>
          <w:tcPr>
            <w:tcW w:w="6521" w:type="dxa"/>
          </w:tcPr>
          <w:p w14:paraId="3C25A933" w14:textId="05A95620" w:rsidR="00542633" w:rsidRPr="008B1593" w:rsidRDefault="00B83638" w:rsidP="00827BED">
            <w:pPr>
              <w:ind w:left="34"/>
              <w:contextualSpacing/>
              <w:jc w:val="both"/>
              <w:rPr>
                <w:sz w:val="20"/>
                <w:szCs w:val="20"/>
                <w:lang w:val="en-US"/>
              </w:rPr>
            </w:pPr>
            <w:r>
              <w:rPr>
                <w:b/>
                <w:sz w:val="20"/>
                <w:szCs w:val="20"/>
                <w:lang w:val="en-US"/>
              </w:rPr>
              <w:t>Stakeholder 1</w:t>
            </w:r>
            <w:r w:rsidR="00542633">
              <w:rPr>
                <w:b/>
                <w:lang w:val="en-US"/>
              </w:rPr>
              <w:t>:</w:t>
            </w:r>
            <w:r w:rsidR="00542633" w:rsidRPr="008B1593">
              <w:rPr>
                <w:b/>
                <w:sz w:val="20"/>
                <w:szCs w:val="20"/>
                <w:lang w:val="en-US"/>
              </w:rPr>
              <w:t xml:space="preserve"> </w:t>
            </w:r>
            <w:r w:rsidR="00542633" w:rsidRPr="008B1593">
              <w:rPr>
                <w:sz w:val="20"/>
                <w:szCs w:val="20"/>
                <w:lang w:val="en-US"/>
              </w:rPr>
              <w:t xml:space="preserve">Not daily metered (NDM) data is provided by the forecasting party (legal entity) which is depicted by the NRA in each member state (not a DSO). </w:t>
            </w:r>
          </w:p>
          <w:p w14:paraId="0BD8CCE4" w14:textId="77777777" w:rsidR="00542633" w:rsidRPr="008B1593" w:rsidRDefault="00542633" w:rsidP="00827BED">
            <w:pPr>
              <w:ind w:left="34"/>
              <w:contextualSpacing/>
              <w:jc w:val="both"/>
              <w:rPr>
                <w:sz w:val="20"/>
                <w:szCs w:val="20"/>
                <w:lang w:val="en-US"/>
              </w:rPr>
            </w:pPr>
          </w:p>
          <w:p w14:paraId="1739059F" w14:textId="77777777" w:rsidR="00542633" w:rsidRPr="008B1593" w:rsidRDefault="00542633" w:rsidP="00827BED">
            <w:pPr>
              <w:ind w:left="34"/>
              <w:contextualSpacing/>
              <w:jc w:val="both"/>
              <w:rPr>
                <w:sz w:val="20"/>
                <w:szCs w:val="20"/>
                <w:lang w:val="en-US"/>
              </w:rPr>
            </w:pPr>
            <w:r w:rsidRPr="008B1593">
              <w:rPr>
                <w:sz w:val="20"/>
                <w:szCs w:val="20"/>
                <w:lang w:val="en-US"/>
              </w:rPr>
              <w:t>BAL NC Art. 39 (5) states that:</w:t>
            </w:r>
          </w:p>
          <w:p w14:paraId="0199607C" w14:textId="77777777" w:rsidR="00542633" w:rsidRPr="008B1593" w:rsidRDefault="00542633" w:rsidP="00827BED">
            <w:pPr>
              <w:ind w:left="34"/>
              <w:contextualSpacing/>
              <w:jc w:val="both"/>
              <w:rPr>
                <w:sz w:val="20"/>
                <w:szCs w:val="20"/>
                <w:lang w:val="en-US"/>
              </w:rPr>
            </w:pPr>
            <w:r w:rsidRPr="008B1593">
              <w:rPr>
                <w:sz w:val="20"/>
                <w:szCs w:val="20"/>
                <w:lang w:val="en-US"/>
              </w:rPr>
              <w:t>„</w:t>
            </w:r>
            <w:r w:rsidRPr="008B1593">
              <w:rPr>
                <w:i/>
                <w:sz w:val="20"/>
                <w:szCs w:val="20"/>
                <w:lang w:val="en-US"/>
              </w:rPr>
              <w:t>5. The national regulatory authority shall designate the forecasting party in a balancing zone after prior consultation with the transmission system operators and distribution system operators concerned. The forecasting party shall be responsible for forecasting a network user’s non daily metered off-takes and where appropriate its subsequent allocation. It may be a transmission system operator, distribution system operator or a third party.</w:t>
            </w:r>
            <w:r w:rsidRPr="008B1593">
              <w:rPr>
                <w:sz w:val="20"/>
                <w:szCs w:val="20"/>
                <w:lang w:val="en-US"/>
              </w:rPr>
              <w:t>“</w:t>
            </w:r>
          </w:p>
          <w:p w14:paraId="74171F9A" w14:textId="77777777" w:rsidR="00542633" w:rsidRPr="008B1593" w:rsidRDefault="00542633" w:rsidP="00827BED">
            <w:pPr>
              <w:ind w:left="34"/>
              <w:contextualSpacing/>
              <w:jc w:val="both"/>
              <w:rPr>
                <w:sz w:val="20"/>
                <w:szCs w:val="20"/>
                <w:lang w:val="en-US"/>
              </w:rPr>
            </w:pPr>
          </w:p>
          <w:p w14:paraId="36245DBE" w14:textId="77777777" w:rsidR="00542633" w:rsidRPr="008B1593" w:rsidRDefault="00542633" w:rsidP="00827BED">
            <w:pPr>
              <w:ind w:left="34"/>
              <w:contextualSpacing/>
              <w:jc w:val="both"/>
              <w:rPr>
                <w:sz w:val="20"/>
                <w:szCs w:val="20"/>
                <w:lang w:val="en-US"/>
              </w:rPr>
            </w:pPr>
            <w:r w:rsidRPr="008B1593">
              <w:rPr>
                <w:sz w:val="20"/>
                <w:szCs w:val="20"/>
                <w:lang w:val="en-US"/>
              </w:rPr>
              <w:lastRenderedPageBreak/>
              <w:t>Please, adjust 7.1.5 wording by changing “DSO” to “forecasting party”.</w:t>
            </w:r>
          </w:p>
        </w:tc>
        <w:tc>
          <w:tcPr>
            <w:tcW w:w="6343" w:type="dxa"/>
          </w:tcPr>
          <w:p w14:paraId="2C2D1EB6" w14:textId="77777777" w:rsidR="00542633" w:rsidRPr="00EF5298" w:rsidRDefault="00542633" w:rsidP="001550C4">
            <w:pPr>
              <w:ind w:left="34"/>
              <w:contextualSpacing/>
              <w:jc w:val="both"/>
              <w:rPr>
                <w:sz w:val="20"/>
                <w:szCs w:val="20"/>
                <w:lang w:val="en-US"/>
              </w:rPr>
            </w:pPr>
            <w:r w:rsidRPr="00EF5298">
              <w:rPr>
                <w:sz w:val="20"/>
                <w:szCs w:val="20"/>
                <w:lang w:val="en-US"/>
              </w:rPr>
              <w:lastRenderedPageBreak/>
              <w:t xml:space="preserve">Proposal </w:t>
            </w:r>
            <w:r>
              <w:rPr>
                <w:sz w:val="20"/>
                <w:szCs w:val="20"/>
                <w:lang w:val="en-US"/>
              </w:rPr>
              <w:t>taken into account</w:t>
            </w:r>
            <w:r w:rsidRPr="00EF5298">
              <w:rPr>
                <w:sz w:val="20"/>
                <w:szCs w:val="20"/>
                <w:lang w:val="en-US"/>
              </w:rPr>
              <w:t>.</w:t>
            </w:r>
          </w:p>
        </w:tc>
      </w:tr>
      <w:tr w:rsidR="00542633" w:rsidRPr="008B1593" w14:paraId="7F54143D" w14:textId="77777777" w:rsidTr="00795AD6">
        <w:trPr>
          <w:trHeight w:val="659"/>
        </w:trPr>
        <w:tc>
          <w:tcPr>
            <w:tcW w:w="2830" w:type="dxa"/>
          </w:tcPr>
          <w:p w14:paraId="414E569F" w14:textId="77777777" w:rsidR="00542633" w:rsidRPr="008B1593" w:rsidRDefault="00542633" w:rsidP="00827BED">
            <w:pPr>
              <w:tabs>
                <w:tab w:val="left" w:pos="851"/>
              </w:tabs>
              <w:suppressAutoHyphens/>
              <w:jc w:val="both"/>
              <w:textAlignment w:val="baseline"/>
              <w:rPr>
                <w:sz w:val="20"/>
                <w:szCs w:val="20"/>
                <w:lang w:val="en-US" w:eastAsia="lt-LT"/>
              </w:rPr>
            </w:pPr>
            <w:r w:rsidRPr="008B1593">
              <w:rPr>
                <w:sz w:val="20"/>
                <w:szCs w:val="20"/>
                <w:lang w:val="en-US" w:eastAsia="lt-LT"/>
              </w:rPr>
              <w:t>7.1.5.2 At daily metered points:</w:t>
            </w:r>
          </w:p>
          <w:p w14:paraId="755DF124" w14:textId="77777777" w:rsidR="00542633" w:rsidRPr="008B1593" w:rsidRDefault="00542633" w:rsidP="00827BED">
            <w:pPr>
              <w:tabs>
                <w:tab w:val="left" w:pos="851"/>
              </w:tabs>
              <w:suppressAutoHyphens/>
              <w:jc w:val="both"/>
              <w:textAlignment w:val="baseline"/>
              <w:rPr>
                <w:sz w:val="20"/>
                <w:szCs w:val="20"/>
                <w:lang w:val="en-US" w:eastAsia="lt-LT"/>
              </w:rPr>
            </w:pPr>
            <w:r w:rsidRPr="008B1593">
              <w:rPr>
                <w:sz w:val="20"/>
                <w:szCs w:val="20"/>
                <w:lang w:val="en-US" w:eastAsia="lt-LT"/>
              </w:rPr>
              <w:t>&lt;...&gt;</w:t>
            </w:r>
          </w:p>
          <w:p w14:paraId="2FF8FB0C" w14:textId="77777777" w:rsidR="00542633" w:rsidRPr="008B1593" w:rsidRDefault="00542633" w:rsidP="00827BED">
            <w:pPr>
              <w:tabs>
                <w:tab w:val="left" w:pos="851"/>
              </w:tabs>
              <w:suppressAutoHyphens/>
              <w:jc w:val="both"/>
              <w:textAlignment w:val="baseline"/>
              <w:rPr>
                <w:sz w:val="20"/>
                <w:szCs w:val="20"/>
                <w:lang w:val="en-US" w:eastAsia="lt-LT"/>
              </w:rPr>
            </w:pPr>
            <w:r w:rsidRPr="008B1593">
              <w:rPr>
                <w:sz w:val="20"/>
                <w:szCs w:val="20"/>
                <w:lang w:val="en-US" w:eastAsia="lt-LT"/>
              </w:rPr>
              <w:t>c)</w:t>
            </w:r>
            <w:r w:rsidRPr="008B1593">
              <w:rPr>
                <w:sz w:val="20"/>
                <w:szCs w:val="20"/>
                <w:lang w:val="en-US" w:eastAsia="lt-LT"/>
              </w:rPr>
              <w:tab/>
              <w:t>At BNG entry points the allocation shall be determined based on the measured quantity. At one biogas entry point it shall be allowed injection of only one network user. In one biogas portfolio it shall be maximum as many network users as biogas entry points.</w:t>
            </w:r>
          </w:p>
        </w:tc>
        <w:tc>
          <w:tcPr>
            <w:tcW w:w="6521" w:type="dxa"/>
          </w:tcPr>
          <w:p w14:paraId="7DC3D6B2" w14:textId="28345194" w:rsidR="00542633" w:rsidRPr="008B1593" w:rsidRDefault="00B83638" w:rsidP="00827BED">
            <w:pPr>
              <w:ind w:left="34"/>
              <w:contextualSpacing/>
              <w:jc w:val="both"/>
              <w:rPr>
                <w:sz w:val="20"/>
                <w:szCs w:val="20"/>
                <w:lang w:val="en-US"/>
              </w:rPr>
            </w:pPr>
            <w:r>
              <w:rPr>
                <w:b/>
                <w:sz w:val="20"/>
                <w:szCs w:val="20"/>
                <w:lang w:val="en-US"/>
              </w:rPr>
              <w:t>Stakeholder 1</w:t>
            </w:r>
            <w:r w:rsidR="00542633">
              <w:rPr>
                <w:b/>
                <w:lang w:val="en-US"/>
              </w:rPr>
              <w:t>:</w:t>
            </w:r>
            <w:r w:rsidR="00542633" w:rsidRPr="008B1593">
              <w:rPr>
                <w:b/>
                <w:sz w:val="20"/>
                <w:szCs w:val="20"/>
                <w:lang w:val="en-US"/>
              </w:rPr>
              <w:t xml:space="preserve"> </w:t>
            </w:r>
            <w:r w:rsidR="00542633" w:rsidRPr="008B1593">
              <w:rPr>
                <w:sz w:val="20"/>
                <w:szCs w:val="20"/>
                <w:lang w:val="en-US"/>
              </w:rPr>
              <w:t>Allocation rules at BNG entry point should not be treated differently than other entry points. We are suggesting implementing quantity nominations in case several network users are using that point as there is in the other entry points.</w:t>
            </w:r>
          </w:p>
          <w:p w14:paraId="5D10549C" w14:textId="77777777" w:rsidR="00542633" w:rsidRPr="008B1593" w:rsidRDefault="00542633" w:rsidP="00827BED">
            <w:pPr>
              <w:ind w:left="34"/>
              <w:contextualSpacing/>
              <w:jc w:val="both"/>
              <w:rPr>
                <w:sz w:val="20"/>
                <w:szCs w:val="20"/>
                <w:lang w:val="en-US"/>
              </w:rPr>
            </w:pPr>
          </w:p>
          <w:p w14:paraId="568ADEE1" w14:textId="77777777" w:rsidR="00542633" w:rsidRPr="008B1593" w:rsidRDefault="00542633" w:rsidP="00827BED">
            <w:pPr>
              <w:ind w:left="34"/>
              <w:contextualSpacing/>
              <w:jc w:val="both"/>
              <w:rPr>
                <w:sz w:val="20"/>
                <w:szCs w:val="20"/>
                <w:lang w:val="en-US"/>
              </w:rPr>
            </w:pPr>
            <w:r w:rsidRPr="008B1593">
              <w:rPr>
                <w:sz w:val="20"/>
                <w:szCs w:val="20"/>
                <w:lang w:val="en-US"/>
              </w:rPr>
              <w:t>Again, this document should be applied to the biogas and biomethane entry points as well, regarding Gas Regulation Art. 14 (1) (a), Gas Directive recital 26, 41, Art. 32 (1).</w:t>
            </w:r>
          </w:p>
          <w:p w14:paraId="28954165" w14:textId="77777777" w:rsidR="00542633" w:rsidRPr="008B1593" w:rsidRDefault="00542633" w:rsidP="00827BED">
            <w:pPr>
              <w:ind w:left="34"/>
              <w:contextualSpacing/>
              <w:jc w:val="both"/>
              <w:rPr>
                <w:sz w:val="20"/>
                <w:szCs w:val="20"/>
                <w:lang w:val="en-US"/>
              </w:rPr>
            </w:pPr>
          </w:p>
          <w:p w14:paraId="00FA8980" w14:textId="77777777" w:rsidR="00542633" w:rsidRPr="008B1593" w:rsidRDefault="00542633" w:rsidP="00827BED">
            <w:pPr>
              <w:ind w:left="34"/>
              <w:contextualSpacing/>
              <w:jc w:val="both"/>
              <w:rPr>
                <w:sz w:val="20"/>
                <w:szCs w:val="20"/>
                <w:lang w:val="en-US"/>
              </w:rPr>
            </w:pPr>
            <w:r w:rsidRPr="008B1593">
              <w:rPr>
                <w:sz w:val="20"/>
                <w:szCs w:val="20"/>
                <w:lang w:val="en-US"/>
              </w:rPr>
              <w:t>Also, the concept of biogas portfolio is not defined in this document. E.g. it would be more flexible to consider that BNG entry point is considered as a virtual point in the VTP which combines all physical biogas intake to the transmission system points or similar.</w:t>
            </w:r>
          </w:p>
          <w:p w14:paraId="2679A3C1" w14:textId="77777777" w:rsidR="00542633" w:rsidRPr="008B1593" w:rsidRDefault="00542633" w:rsidP="00827BED">
            <w:pPr>
              <w:ind w:left="34"/>
              <w:contextualSpacing/>
              <w:jc w:val="both"/>
              <w:rPr>
                <w:sz w:val="20"/>
                <w:szCs w:val="20"/>
                <w:lang w:val="en-US"/>
              </w:rPr>
            </w:pPr>
          </w:p>
          <w:p w14:paraId="238BFC0E" w14:textId="77777777" w:rsidR="00542633" w:rsidRPr="008B1593" w:rsidRDefault="00542633" w:rsidP="00827BED">
            <w:pPr>
              <w:ind w:left="34"/>
              <w:contextualSpacing/>
              <w:jc w:val="both"/>
              <w:rPr>
                <w:sz w:val="20"/>
                <w:szCs w:val="20"/>
                <w:lang w:val="en-US"/>
              </w:rPr>
            </w:pPr>
            <w:r w:rsidRPr="008B1593">
              <w:rPr>
                <w:sz w:val="20"/>
                <w:szCs w:val="20"/>
                <w:lang w:val="en-US"/>
              </w:rPr>
              <w:t>See comments for paragraphs 1.5.7, 1.5.8, 1.5.9 as well.</w:t>
            </w:r>
          </w:p>
        </w:tc>
        <w:tc>
          <w:tcPr>
            <w:tcW w:w="6343" w:type="dxa"/>
          </w:tcPr>
          <w:p w14:paraId="4C517B5E" w14:textId="77777777" w:rsidR="00542633" w:rsidRDefault="00542633" w:rsidP="00827BED">
            <w:pPr>
              <w:ind w:left="34"/>
              <w:contextualSpacing/>
              <w:jc w:val="both"/>
              <w:rPr>
                <w:sz w:val="20"/>
                <w:szCs w:val="20"/>
                <w:lang w:val="en-US"/>
              </w:rPr>
            </w:pPr>
            <w:r w:rsidRPr="006F46AC">
              <w:rPr>
                <w:sz w:val="20"/>
                <w:szCs w:val="20"/>
                <w:lang w:val="en-US"/>
              </w:rPr>
              <w:t>Proposal n</w:t>
            </w:r>
            <w:r>
              <w:rPr>
                <w:sz w:val="20"/>
                <w:szCs w:val="20"/>
                <w:lang w:val="en-US"/>
              </w:rPr>
              <w:t>o</w:t>
            </w:r>
            <w:r w:rsidRPr="006F46AC">
              <w:rPr>
                <w:sz w:val="20"/>
                <w:szCs w:val="20"/>
                <w:lang w:val="en-US"/>
              </w:rPr>
              <w:t>t taken into account</w:t>
            </w:r>
          </w:p>
          <w:p w14:paraId="6CF691E9" w14:textId="0814B977" w:rsidR="00542633" w:rsidRDefault="00542633" w:rsidP="00827BED">
            <w:pPr>
              <w:ind w:left="34"/>
              <w:contextualSpacing/>
              <w:jc w:val="both"/>
              <w:rPr>
                <w:sz w:val="20"/>
                <w:szCs w:val="20"/>
                <w:lang w:val="en-US"/>
              </w:rPr>
            </w:pPr>
            <w:r>
              <w:rPr>
                <w:sz w:val="20"/>
                <w:szCs w:val="20"/>
                <w:lang w:val="en-US"/>
              </w:rPr>
              <w:t>TSOs would like to point the crucial difference in gas production on the gas fields and in biomethane facilities. In the former case the production is regulated by steering the production by well-heads, thus augmenting or reducing the flow down to the full stop of production if required in emergency cases. At biomethane facilities the production rate is dictated by biochemical processes which cannot be steered such easily as operations on the gas field, which in case of full stop of productions required dumpi</w:t>
            </w:r>
            <w:r w:rsidR="000C639F">
              <w:rPr>
                <w:sz w:val="20"/>
                <w:szCs w:val="20"/>
                <w:lang w:val="en-US"/>
              </w:rPr>
              <w:t>ng of the reactor’s content or v</w:t>
            </w:r>
            <w:r>
              <w:rPr>
                <w:sz w:val="20"/>
                <w:szCs w:val="20"/>
                <w:lang w:val="en-US"/>
              </w:rPr>
              <w:t xml:space="preserve">enting-off the methane and </w:t>
            </w:r>
            <w:r w:rsidRPr="000211B0">
              <w:rPr>
                <w:sz w:val="20"/>
                <w:szCs w:val="20"/>
                <w:lang w:val="en-US"/>
              </w:rPr>
              <w:t>CO</w:t>
            </w:r>
            <w:r w:rsidRPr="000211B0">
              <w:rPr>
                <w:sz w:val="20"/>
                <w:szCs w:val="20"/>
                <w:vertAlign w:val="subscript"/>
                <w:lang w:val="en-US"/>
              </w:rPr>
              <w:t>2</w:t>
            </w:r>
            <w:r>
              <w:rPr>
                <w:sz w:val="20"/>
                <w:szCs w:val="20"/>
                <w:lang w:val="en-US"/>
              </w:rPr>
              <w:t xml:space="preserve"> containing mixture of gases into atmosphere. As such potential mechanism of reduction of imbalance, in case if standard allocation rules would apply, is totally against the goals to be reached by development of the local production of gas meaning reduction of reliance on fossil gas, reduction of methane emissions in gas value chain and limiting other GHG emissions, TSOs are in favor of proposed mechanism, which will also reflect TSOs contribution to the support of the development of local gas production.</w:t>
            </w:r>
          </w:p>
          <w:p w14:paraId="4A488830" w14:textId="77777777" w:rsidR="00542633" w:rsidRPr="006F46AC" w:rsidRDefault="00542633" w:rsidP="00161A7E">
            <w:pPr>
              <w:ind w:left="34"/>
              <w:contextualSpacing/>
              <w:jc w:val="both"/>
              <w:rPr>
                <w:sz w:val="20"/>
                <w:szCs w:val="20"/>
                <w:lang w:val="en-US"/>
              </w:rPr>
            </w:pPr>
            <w:r>
              <w:rPr>
                <w:sz w:val="20"/>
                <w:szCs w:val="20"/>
                <w:lang w:val="en-US"/>
              </w:rPr>
              <w:t>It requires mentioning that investments of additional resources in accumulation of produce can be done by biomethane producers, but it will significantly raise the cost of biomethane production, thus requiring more intensive state’s support and hindering the development of the industry.</w:t>
            </w:r>
          </w:p>
          <w:p w14:paraId="5B9D6CAE" w14:textId="77777777" w:rsidR="00542633" w:rsidRPr="008C7AC1" w:rsidRDefault="00542633" w:rsidP="00060A9C">
            <w:pPr>
              <w:ind w:left="34"/>
              <w:contextualSpacing/>
              <w:jc w:val="both"/>
              <w:rPr>
                <w:strike/>
                <w:sz w:val="20"/>
                <w:szCs w:val="20"/>
                <w:lang w:val="en-US"/>
              </w:rPr>
            </w:pPr>
          </w:p>
        </w:tc>
      </w:tr>
      <w:tr w:rsidR="00542633" w:rsidRPr="008B1593" w14:paraId="298A1A00" w14:textId="77777777" w:rsidTr="00795AD6">
        <w:trPr>
          <w:trHeight w:val="659"/>
        </w:trPr>
        <w:tc>
          <w:tcPr>
            <w:tcW w:w="2830" w:type="dxa"/>
          </w:tcPr>
          <w:p w14:paraId="57996224" w14:textId="77777777" w:rsidR="00542633" w:rsidRPr="004E5246" w:rsidRDefault="00542633" w:rsidP="00827BED">
            <w:pPr>
              <w:tabs>
                <w:tab w:val="left" w:pos="851"/>
              </w:tabs>
              <w:suppressAutoHyphens/>
              <w:jc w:val="both"/>
              <w:textAlignment w:val="baseline"/>
              <w:rPr>
                <w:b/>
                <w:sz w:val="20"/>
                <w:szCs w:val="20"/>
                <w:lang w:val="en-US" w:eastAsia="lt-LT"/>
              </w:rPr>
            </w:pPr>
            <w:r w:rsidRPr="004E5246">
              <w:rPr>
                <w:b/>
                <w:sz w:val="20"/>
                <w:szCs w:val="20"/>
                <w:lang w:val="en-US" w:eastAsia="lt-LT"/>
              </w:rPr>
              <w:t>9. Operations and gas entry provisions</w:t>
            </w:r>
          </w:p>
        </w:tc>
        <w:tc>
          <w:tcPr>
            <w:tcW w:w="6521" w:type="dxa"/>
          </w:tcPr>
          <w:p w14:paraId="3256F431" w14:textId="2EDBF017" w:rsidR="00542633" w:rsidRPr="008B1593" w:rsidRDefault="00B83638" w:rsidP="00827BED">
            <w:pPr>
              <w:ind w:left="34"/>
              <w:contextualSpacing/>
              <w:jc w:val="both"/>
              <w:rPr>
                <w:b/>
                <w:sz w:val="20"/>
                <w:szCs w:val="20"/>
                <w:lang w:val="en-US"/>
              </w:rPr>
            </w:pPr>
            <w:r>
              <w:rPr>
                <w:b/>
                <w:sz w:val="20"/>
                <w:szCs w:val="20"/>
                <w:lang w:val="en-US" w:eastAsia="lt-LT"/>
              </w:rPr>
              <w:t>Stakeholder 4</w:t>
            </w:r>
            <w:r w:rsidR="00542633">
              <w:rPr>
                <w:sz w:val="20"/>
                <w:szCs w:val="20"/>
                <w:lang w:val="en-US" w:eastAsia="lt-LT"/>
              </w:rPr>
              <w:t xml:space="preserve">: </w:t>
            </w:r>
            <w:r w:rsidR="00542633">
              <w:t xml:space="preserve"> </w:t>
            </w:r>
            <w:r w:rsidR="00542633" w:rsidRPr="004E5246">
              <w:rPr>
                <w:sz w:val="20"/>
                <w:szCs w:val="20"/>
                <w:lang w:val="en-US" w:eastAsia="lt-LT"/>
              </w:rPr>
              <w:t>Gas quality has to be measured at all Entry points, including biomethane and LNG injection.</w:t>
            </w:r>
          </w:p>
        </w:tc>
        <w:tc>
          <w:tcPr>
            <w:tcW w:w="6343" w:type="dxa"/>
          </w:tcPr>
          <w:p w14:paraId="4CE2D1F8" w14:textId="77777777" w:rsidR="00542633" w:rsidRPr="00EF5298" w:rsidRDefault="00542633" w:rsidP="00DE2983">
            <w:pPr>
              <w:ind w:left="34"/>
              <w:contextualSpacing/>
              <w:jc w:val="both"/>
              <w:rPr>
                <w:sz w:val="20"/>
                <w:szCs w:val="20"/>
                <w:lang w:val="en-US"/>
              </w:rPr>
            </w:pPr>
            <w:r w:rsidRPr="00EF5298">
              <w:rPr>
                <w:sz w:val="20"/>
                <w:szCs w:val="20"/>
                <w:lang w:val="en-US"/>
              </w:rPr>
              <w:t xml:space="preserve">Proposal </w:t>
            </w:r>
            <w:r>
              <w:rPr>
                <w:sz w:val="20"/>
                <w:szCs w:val="20"/>
                <w:lang w:val="en-US"/>
              </w:rPr>
              <w:t>taken into account</w:t>
            </w:r>
            <w:r w:rsidRPr="00EF5298">
              <w:rPr>
                <w:sz w:val="20"/>
                <w:szCs w:val="20"/>
                <w:lang w:val="en-US"/>
              </w:rPr>
              <w:t>.</w:t>
            </w:r>
          </w:p>
        </w:tc>
      </w:tr>
      <w:tr w:rsidR="00542633" w:rsidRPr="008B1593" w14:paraId="5A14D55C" w14:textId="77777777" w:rsidTr="00795AD6">
        <w:trPr>
          <w:trHeight w:val="659"/>
        </w:trPr>
        <w:tc>
          <w:tcPr>
            <w:tcW w:w="2830" w:type="dxa"/>
          </w:tcPr>
          <w:p w14:paraId="32142DDE" w14:textId="77777777" w:rsidR="00542633" w:rsidRPr="008B1593" w:rsidRDefault="00542633" w:rsidP="00827BED">
            <w:pPr>
              <w:tabs>
                <w:tab w:val="left" w:pos="851"/>
              </w:tabs>
              <w:suppressAutoHyphens/>
              <w:jc w:val="both"/>
              <w:textAlignment w:val="baseline"/>
              <w:rPr>
                <w:sz w:val="20"/>
                <w:szCs w:val="20"/>
                <w:lang w:val="en-US" w:eastAsia="lt-LT"/>
              </w:rPr>
            </w:pPr>
            <w:r w:rsidRPr="008B1593">
              <w:rPr>
                <w:sz w:val="20"/>
                <w:szCs w:val="20"/>
                <w:lang w:val="en-US" w:eastAsia="lt-LT"/>
              </w:rPr>
              <w:t>9.1.2. The measurement of natural gas quality shall be performed at:</w:t>
            </w:r>
          </w:p>
        </w:tc>
        <w:tc>
          <w:tcPr>
            <w:tcW w:w="6521" w:type="dxa"/>
          </w:tcPr>
          <w:p w14:paraId="4B307C82" w14:textId="46D9F1BC" w:rsidR="00542633" w:rsidRPr="008B1593" w:rsidRDefault="00B83638" w:rsidP="00827BED">
            <w:pPr>
              <w:ind w:left="34"/>
              <w:contextualSpacing/>
              <w:jc w:val="both"/>
              <w:rPr>
                <w:sz w:val="20"/>
                <w:szCs w:val="20"/>
                <w:lang w:val="en-US"/>
              </w:rPr>
            </w:pPr>
            <w:r>
              <w:rPr>
                <w:b/>
                <w:sz w:val="20"/>
                <w:szCs w:val="20"/>
                <w:lang w:val="en-US"/>
              </w:rPr>
              <w:t>Stakeholder 1</w:t>
            </w:r>
            <w:r w:rsidR="00542633">
              <w:rPr>
                <w:b/>
                <w:lang w:val="en-US"/>
              </w:rPr>
              <w:t>:</w:t>
            </w:r>
            <w:r w:rsidR="00542633" w:rsidRPr="008B1593">
              <w:rPr>
                <w:b/>
                <w:sz w:val="20"/>
                <w:szCs w:val="20"/>
                <w:lang w:val="en-US"/>
              </w:rPr>
              <w:t xml:space="preserve"> </w:t>
            </w:r>
            <w:r w:rsidR="00542633" w:rsidRPr="008B1593">
              <w:rPr>
                <w:sz w:val="20"/>
                <w:szCs w:val="20"/>
                <w:lang w:val="en-US"/>
              </w:rPr>
              <w:t>Gas Regulation Annex I paragraph 3.1.2:</w:t>
            </w:r>
          </w:p>
          <w:p w14:paraId="1E255F6B" w14:textId="77777777" w:rsidR="00542633" w:rsidRPr="008B1593" w:rsidRDefault="00542633" w:rsidP="00827BED">
            <w:pPr>
              <w:ind w:left="34"/>
              <w:contextualSpacing/>
              <w:jc w:val="both"/>
              <w:rPr>
                <w:i/>
                <w:sz w:val="20"/>
                <w:szCs w:val="20"/>
                <w:lang w:val="en-US"/>
              </w:rPr>
            </w:pPr>
            <w:r w:rsidRPr="008B1593">
              <w:rPr>
                <w:sz w:val="20"/>
                <w:szCs w:val="20"/>
                <w:lang w:val="en-US"/>
              </w:rPr>
              <w:t>„</w:t>
            </w:r>
            <w:r w:rsidRPr="008B1593">
              <w:rPr>
                <w:i/>
                <w:sz w:val="20"/>
                <w:szCs w:val="20"/>
                <w:lang w:val="en-US"/>
              </w:rPr>
              <w:t>Transmission system operators shall publish at least the following information about their systems and services:</w:t>
            </w:r>
          </w:p>
          <w:p w14:paraId="1ACA5DB2" w14:textId="77777777" w:rsidR="00542633" w:rsidRPr="008B1593" w:rsidRDefault="00542633" w:rsidP="00827BED">
            <w:pPr>
              <w:ind w:left="34"/>
              <w:contextualSpacing/>
              <w:jc w:val="both"/>
              <w:rPr>
                <w:i/>
                <w:sz w:val="20"/>
                <w:szCs w:val="20"/>
                <w:lang w:val="en-US"/>
              </w:rPr>
            </w:pPr>
            <w:r w:rsidRPr="008B1593">
              <w:rPr>
                <w:i/>
                <w:sz w:val="20"/>
                <w:szCs w:val="20"/>
                <w:lang w:val="en-US"/>
              </w:rPr>
              <w:t>&lt;...&gt;</w:t>
            </w:r>
          </w:p>
          <w:p w14:paraId="607936A0" w14:textId="77777777" w:rsidR="00542633" w:rsidRPr="008B1593" w:rsidRDefault="00542633" w:rsidP="00827BED">
            <w:pPr>
              <w:ind w:left="34"/>
              <w:contextualSpacing/>
              <w:jc w:val="both"/>
              <w:rPr>
                <w:i/>
                <w:sz w:val="20"/>
                <w:szCs w:val="20"/>
                <w:lang w:val="en-US"/>
              </w:rPr>
            </w:pPr>
            <w:r w:rsidRPr="008B1593">
              <w:rPr>
                <w:i/>
                <w:sz w:val="20"/>
                <w:szCs w:val="20"/>
                <w:lang w:val="en-US"/>
              </w:rPr>
              <w:t>(c) the network code and/or the standard conditions outlining the rights and responsibilities of all network users including:</w:t>
            </w:r>
          </w:p>
          <w:p w14:paraId="25318479" w14:textId="77777777" w:rsidR="00542633" w:rsidRPr="008B1593" w:rsidRDefault="00542633" w:rsidP="00827BED">
            <w:pPr>
              <w:ind w:left="34"/>
              <w:contextualSpacing/>
              <w:jc w:val="both"/>
              <w:rPr>
                <w:i/>
                <w:sz w:val="20"/>
                <w:szCs w:val="20"/>
                <w:lang w:val="en-US"/>
              </w:rPr>
            </w:pPr>
            <w:r w:rsidRPr="008B1593">
              <w:rPr>
                <w:i/>
                <w:sz w:val="20"/>
                <w:szCs w:val="20"/>
                <w:lang w:val="en-US"/>
              </w:rPr>
              <w:t>&lt;...&gt;</w:t>
            </w:r>
          </w:p>
          <w:p w14:paraId="77B3E275" w14:textId="77777777" w:rsidR="00542633" w:rsidRPr="008B1593" w:rsidRDefault="00542633" w:rsidP="00827BED">
            <w:pPr>
              <w:ind w:left="34"/>
              <w:contextualSpacing/>
              <w:jc w:val="both"/>
              <w:rPr>
                <w:i/>
                <w:sz w:val="20"/>
                <w:szCs w:val="20"/>
                <w:lang w:val="en-US"/>
              </w:rPr>
            </w:pPr>
            <w:r w:rsidRPr="008B1593">
              <w:rPr>
                <w:i/>
                <w:sz w:val="20"/>
                <w:szCs w:val="20"/>
                <w:lang w:val="en-US"/>
              </w:rPr>
              <w:t>2. if relevant for access to the system, for all relevant points as defined in paragraph 3.2 of this Annex, a specification of relevant gas quality parameters, including at least the gross calorific value and the Wobbe index, and the liability or costs of conversion for network users in case gas is outside these specifications;</w:t>
            </w:r>
          </w:p>
          <w:p w14:paraId="4B038DCD" w14:textId="77777777" w:rsidR="00542633" w:rsidRPr="008B1593" w:rsidRDefault="00542633" w:rsidP="00827BED">
            <w:pPr>
              <w:ind w:left="34"/>
              <w:contextualSpacing/>
              <w:jc w:val="both"/>
              <w:rPr>
                <w:i/>
                <w:sz w:val="20"/>
                <w:szCs w:val="20"/>
                <w:lang w:val="en-US"/>
              </w:rPr>
            </w:pPr>
            <w:r w:rsidRPr="008B1593">
              <w:rPr>
                <w:i/>
                <w:sz w:val="20"/>
                <w:szCs w:val="20"/>
                <w:lang w:val="en-US"/>
              </w:rPr>
              <w:t>&lt;...&gt;</w:t>
            </w:r>
          </w:p>
          <w:p w14:paraId="6263CF82" w14:textId="77777777" w:rsidR="00542633" w:rsidRPr="008B1593" w:rsidRDefault="00542633" w:rsidP="00827BED">
            <w:pPr>
              <w:ind w:left="34"/>
              <w:contextualSpacing/>
              <w:jc w:val="both"/>
              <w:rPr>
                <w:i/>
                <w:sz w:val="20"/>
                <w:szCs w:val="20"/>
                <w:lang w:val="en-US"/>
              </w:rPr>
            </w:pPr>
            <w:r w:rsidRPr="008B1593">
              <w:rPr>
                <w:i/>
                <w:sz w:val="20"/>
                <w:szCs w:val="20"/>
                <w:lang w:val="en-US"/>
              </w:rPr>
              <w:t>3.2.    Definition of all relevant points for transparency requirements</w:t>
            </w:r>
          </w:p>
          <w:p w14:paraId="2A1C867E" w14:textId="77777777" w:rsidR="00542633" w:rsidRPr="008B1593" w:rsidRDefault="00542633" w:rsidP="00827BED">
            <w:pPr>
              <w:ind w:left="34"/>
              <w:contextualSpacing/>
              <w:jc w:val="both"/>
              <w:rPr>
                <w:i/>
                <w:sz w:val="20"/>
                <w:szCs w:val="20"/>
                <w:lang w:val="en-US"/>
              </w:rPr>
            </w:pPr>
            <w:r w:rsidRPr="008B1593">
              <w:rPr>
                <w:i/>
                <w:sz w:val="20"/>
                <w:szCs w:val="20"/>
                <w:lang w:val="en-US"/>
              </w:rPr>
              <w:t>(1) Relevant points shall include at least:</w:t>
            </w:r>
          </w:p>
          <w:p w14:paraId="23606891" w14:textId="77777777" w:rsidR="00542633" w:rsidRPr="008B1593" w:rsidRDefault="00542633" w:rsidP="00827BED">
            <w:pPr>
              <w:ind w:left="34"/>
              <w:contextualSpacing/>
              <w:jc w:val="both"/>
              <w:rPr>
                <w:i/>
                <w:sz w:val="20"/>
                <w:szCs w:val="20"/>
                <w:lang w:val="en-US"/>
              </w:rPr>
            </w:pPr>
            <w:r w:rsidRPr="008B1593">
              <w:rPr>
                <w:i/>
                <w:sz w:val="20"/>
                <w:szCs w:val="20"/>
                <w:lang w:val="en-US"/>
              </w:rPr>
              <w:lastRenderedPageBreak/>
              <w:t>(a) all entry and exit points to and from a transmission network operated by a transmission system operator, with the exception of exit points connected to a single final customer, and with the exception of entry points linked directly to a production facility of a single producer that is located within the EU;</w:t>
            </w:r>
          </w:p>
          <w:p w14:paraId="44983F85" w14:textId="77777777" w:rsidR="00542633" w:rsidRPr="008B1593" w:rsidRDefault="00542633" w:rsidP="00827BED">
            <w:pPr>
              <w:ind w:left="34"/>
              <w:contextualSpacing/>
              <w:jc w:val="both"/>
              <w:rPr>
                <w:i/>
                <w:sz w:val="20"/>
                <w:szCs w:val="20"/>
                <w:lang w:val="en-US"/>
              </w:rPr>
            </w:pPr>
            <w:r w:rsidRPr="008B1593">
              <w:rPr>
                <w:i/>
                <w:sz w:val="20"/>
                <w:szCs w:val="20"/>
                <w:lang w:val="en-US"/>
              </w:rPr>
              <w:t>&lt;...&gt;</w:t>
            </w:r>
          </w:p>
          <w:p w14:paraId="1FC997AD" w14:textId="77777777" w:rsidR="00542633" w:rsidRPr="008B1593" w:rsidRDefault="00542633" w:rsidP="00827BED">
            <w:pPr>
              <w:ind w:left="34"/>
              <w:contextualSpacing/>
              <w:jc w:val="both"/>
              <w:rPr>
                <w:sz w:val="20"/>
                <w:szCs w:val="20"/>
                <w:lang w:val="en-US"/>
              </w:rPr>
            </w:pPr>
            <w:r w:rsidRPr="008B1593">
              <w:rPr>
                <w:i/>
                <w:sz w:val="20"/>
                <w:szCs w:val="20"/>
                <w:lang w:val="en-US"/>
              </w:rPr>
              <w:t>(3) &lt;...&gt; The national regulatory authority may require the transmission system operators to publish the requirements under paragraph 3.3 of this Annex for groups or all of the exempted points. In such case, the information, if available to the TSO, shall be published in an aggregated form at a meaningful level, at least per balancing zone. This aggregation of these points shall for the application of this annex be considered as one relevant point</w:t>
            </w:r>
            <w:r w:rsidRPr="008B1593">
              <w:rPr>
                <w:sz w:val="20"/>
                <w:szCs w:val="20"/>
                <w:lang w:val="en-US"/>
              </w:rPr>
              <w:t>.“</w:t>
            </w:r>
          </w:p>
          <w:p w14:paraId="13CC90D5" w14:textId="77777777" w:rsidR="00542633" w:rsidRPr="008B1593" w:rsidRDefault="00542633" w:rsidP="00827BED">
            <w:pPr>
              <w:ind w:left="34"/>
              <w:contextualSpacing/>
              <w:jc w:val="both"/>
              <w:rPr>
                <w:sz w:val="20"/>
                <w:szCs w:val="20"/>
                <w:lang w:val="en-US"/>
              </w:rPr>
            </w:pPr>
          </w:p>
          <w:p w14:paraId="29DCEBB6" w14:textId="77777777" w:rsidR="00542633" w:rsidRPr="008B1593" w:rsidRDefault="00542633" w:rsidP="00827BED">
            <w:pPr>
              <w:ind w:left="34"/>
              <w:contextualSpacing/>
              <w:jc w:val="both"/>
              <w:rPr>
                <w:sz w:val="20"/>
                <w:szCs w:val="20"/>
                <w:lang w:val="en-US"/>
              </w:rPr>
            </w:pPr>
            <w:r w:rsidRPr="008B1593">
              <w:rPr>
                <w:sz w:val="20"/>
                <w:szCs w:val="20"/>
                <w:lang w:val="en-US"/>
              </w:rPr>
              <w:t>Considering the above we assume that gas quality has to be measured at domestic exit points to the DSO systems (“city gate points”) and exit points to third countries and published as well.</w:t>
            </w:r>
          </w:p>
        </w:tc>
        <w:tc>
          <w:tcPr>
            <w:tcW w:w="6343" w:type="dxa"/>
          </w:tcPr>
          <w:p w14:paraId="1B4B5EAA" w14:textId="77777777" w:rsidR="00542633" w:rsidRPr="00EF5298" w:rsidRDefault="00542633" w:rsidP="00A17652">
            <w:pPr>
              <w:ind w:left="34"/>
              <w:contextualSpacing/>
              <w:jc w:val="both"/>
              <w:rPr>
                <w:sz w:val="20"/>
                <w:szCs w:val="20"/>
                <w:lang w:val="en-US"/>
              </w:rPr>
            </w:pPr>
            <w:r w:rsidRPr="00EF5298">
              <w:rPr>
                <w:sz w:val="20"/>
                <w:szCs w:val="20"/>
                <w:lang w:val="en-US"/>
              </w:rPr>
              <w:lastRenderedPageBreak/>
              <w:t>Proposal not taken into account. Currently gas quality at domestic exit points is result of calculation. Installation of gas quality measuring at each domestic exit point would be unjustifiable expenses without necessity, as it would not give any overall value to network users or TSOs. Natural gas quality at domestic exit points is and will be published.</w:t>
            </w:r>
            <w:r>
              <w:rPr>
                <w:sz w:val="20"/>
                <w:szCs w:val="20"/>
                <w:lang w:val="en-US"/>
              </w:rPr>
              <w:t xml:space="preserve"> In the current Latvian TPA rules it is foreseen that at least for biogas and gas produced from biomass, as well as LNG which has been turned into a gaseous state for input into the transmission system and determination of quality shall be ensured at the respective entry point to the transmission system. Whereas, the network user shall ensure accounting of natural gas and determination of quality at the entry points, while the transmission system operator ensures it at the exit points.</w:t>
            </w:r>
          </w:p>
        </w:tc>
      </w:tr>
      <w:tr w:rsidR="00542633" w:rsidRPr="008B1593" w14:paraId="43C2EA0C" w14:textId="77777777" w:rsidTr="00795AD6">
        <w:trPr>
          <w:trHeight w:val="659"/>
        </w:trPr>
        <w:tc>
          <w:tcPr>
            <w:tcW w:w="2830" w:type="dxa"/>
          </w:tcPr>
          <w:p w14:paraId="6C4A16FE" w14:textId="77777777" w:rsidR="00542633" w:rsidRPr="008B1593" w:rsidRDefault="00542633" w:rsidP="00827BED">
            <w:pPr>
              <w:tabs>
                <w:tab w:val="left" w:pos="851"/>
              </w:tabs>
              <w:suppressAutoHyphens/>
              <w:jc w:val="both"/>
              <w:textAlignment w:val="baseline"/>
              <w:rPr>
                <w:sz w:val="20"/>
                <w:szCs w:val="20"/>
                <w:lang w:val="en-US" w:eastAsia="lt-LT"/>
              </w:rPr>
            </w:pPr>
            <w:r w:rsidRPr="008B1593">
              <w:rPr>
                <w:sz w:val="20"/>
                <w:szCs w:val="20"/>
                <w:lang w:val="en-US" w:eastAsia="lt-LT"/>
              </w:rPr>
              <w:t>9.3.2. The planned gas network maintenance or the start of connection works of other operators or consumers, during which gas transmission shall be terminated or restricted shall be  announced no later than 42 calendar days before the start of works.</w:t>
            </w:r>
          </w:p>
        </w:tc>
        <w:tc>
          <w:tcPr>
            <w:tcW w:w="6521" w:type="dxa"/>
          </w:tcPr>
          <w:p w14:paraId="7160EFAD" w14:textId="6710B593" w:rsidR="00542633" w:rsidRPr="008B1593" w:rsidRDefault="00B83638" w:rsidP="00827BED">
            <w:pPr>
              <w:ind w:left="34"/>
              <w:contextualSpacing/>
              <w:jc w:val="both"/>
              <w:rPr>
                <w:sz w:val="20"/>
                <w:szCs w:val="20"/>
                <w:lang w:val="en-US"/>
              </w:rPr>
            </w:pPr>
            <w:r>
              <w:rPr>
                <w:b/>
                <w:sz w:val="20"/>
                <w:szCs w:val="20"/>
                <w:lang w:val="en-US"/>
              </w:rPr>
              <w:t>Stakeholder 1</w:t>
            </w:r>
            <w:r w:rsidR="00542633">
              <w:rPr>
                <w:b/>
                <w:lang w:val="en-US"/>
              </w:rPr>
              <w:t>:</w:t>
            </w:r>
            <w:r w:rsidR="00542633" w:rsidRPr="008B1593">
              <w:rPr>
                <w:b/>
                <w:sz w:val="20"/>
                <w:szCs w:val="20"/>
                <w:lang w:val="en-US"/>
              </w:rPr>
              <w:t xml:space="preserve"> </w:t>
            </w:r>
            <w:r w:rsidR="00542633" w:rsidRPr="008B1593">
              <w:rPr>
                <w:sz w:val="20"/>
                <w:szCs w:val="20"/>
                <w:lang w:val="en-US"/>
              </w:rPr>
              <w:t>This situation can cause a disclosure of inside information as foreseen in the Article 2 (1) (b) of Regulation (EU) No 1227/2011 of the European Parliament and of the Council of 25 October 2011 on wholesale energy market integrity and transparency (hereinafter – REMIT).</w:t>
            </w:r>
          </w:p>
          <w:p w14:paraId="2ED7C525" w14:textId="77777777" w:rsidR="00542633" w:rsidRPr="008B1593" w:rsidRDefault="00542633" w:rsidP="00827BED">
            <w:pPr>
              <w:ind w:left="34"/>
              <w:contextualSpacing/>
              <w:jc w:val="both"/>
              <w:rPr>
                <w:sz w:val="20"/>
                <w:szCs w:val="20"/>
                <w:lang w:val="en-US"/>
              </w:rPr>
            </w:pPr>
          </w:p>
          <w:p w14:paraId="26B2FBAD" w14:textId="73AFD61F" w:rsidR="00542633" w:rsidRPr="008B1593" w:rsidRDefault="00542633" w:rsidP="00827BED">
            <w:pPr>
              <w:ind w:left="34"/>
              <w:contextualSpacing/>
              <w:jc w:val="both"/>
              <w:rPr>
                <w:sz w:val="20"/>
                <w:szCs w:val="20"/>
                <w:lang w:val="en-US"/>
              </w:rPr>
            </w:pPr>
            <w:r w:rsidRPr="008B1593">
              <w:rPr>
                <w:sz w:val="20"/>
                <w:szCs w:val="20"/>
                <w:lang w:val="en-US"/>
              </w:rPr>
              <w:t xml:space="preserve">We inform that AB “Amber Grid” has to publish information that is depicted in the  paragraph 7.4 on the public website instantly, but no later than 1 hour of the approval of the maintenance plans as foreseen in the paragraph 9.6 of the Electricity and natural gas trading monitoring rules approved by the </w:t>
            </w:r>
            <w:r w:rsidR="00B83638">
              <w:rPr>
                <w:sz w:val="20"/>
                <w:szCs w:val="20"/>
                <w:lang w:val="en-US"/>
              </w:rPr>
              <w:t>Stakeholder 1</w:t>
            </w:r>
            <w:r w:rsidRPr="008B1593">
              <w:rPr>
                <w:sz w:val="20"/>
                <w:szCs w:val="20"/>
                <w:lang w:val="en-US"/>
              </w:rPr>
              <w:t xml:space="preserve"> resolution No O3-450 of 22nd December, 2016.</w:t>
            </w:r>
          </w:p>
        </w:tc>
        <w:tc>
          <w:tcPr>
            <w:tcW w:w="6343" w:type="dxa"/>
          </w:tcPr>
          <w:p w14:paraId="3B6DF084" w14:textId="77777777" w:rsidR="00542633" w:rsidRDefault="00542633" w:rsidP="00E81593">
            <w:pPr>
              <w:ind w:left="34"/>
              <w:contextualSpacing/>
              <w:jc w:val="both"/>
              <w:rPr>
                <w:sz w:val="20"/>
                <w:szCs w:val="20"/>
                <w:lang w:val="en-US"/>
              </w:rPr>
            </w:pPr>
            <w:r>
              <w:rPr>
                <w:sz w:val="20"/>
                <w:szCs w:val="20"/>
                <w:lang w:val="en-US"/>
              </w:rPr>
              <w:t>TSOs agree and comply with REMIT requirements.</w:t>
            </w:r>
            <w:r w:rsidRPr="00EF5298">
              <w:rPr>
                <w:sz w:val="20"/>
                <w:szCs w:val="20"/>
                <w:lang w:val="en-US"/>
              </w:rPr>
              <w:t xml:space="preserve"> </w:t>
            </w:r>
          </w:p>
          <w:p w14:paraId="03B0DB89" w14:textId="77777777" w:rsidR="00542633" w:rsidRPr="00EF5298" w:rsidRDefault="00542633" w:rsidP="00E81593">
            <w:pPr>
              <w:ind w:left="34"/>
              <w:contextualSpacing/>
              <w:jc w:val="both"/>
              <w:rPr>
                <w:sz w:val="20"/>
                <w:szCs w:val="20"/>
                <w:lang w:val="en-US"/>
              </w:rPr>
            </w:pPr>
          </w:p>
        </w:tc>
      </w:tr>
      <w:tr w:rsidR="00542633" w:rsidRPr="008B1593" w14:paraId="5501AEF5" w14:textId="77777777" w:rsidTr="00795AD6">
        <w:trPr>
          <w:trHeight w:val="659"/>
        </w:trPr>
        <w:tc>
          <w:tcPr>
            <w:tcW w:w="2830" w:type="dxa"/>
          </w:tcPr>
          <w:p w14:paraId="2799A6ED" w14:textId="77777777" w:rsidR="00542633" w:rsidRPr="008B1593" w:rsidRDefault="00542633" w:rsidP="00827BED">
            <w:pPr>
              <w:tabs>
                <w:tab w:val="left" w:pos="851"/>
              </w:tabs>
              <w:suppressAutoHyphens/>
              <w:jc w:val="both"/>
              <w:textAlignment w:val="baseline"/>
              <w:rPr>
                <w:sz w:val="20"/>
                <w:szCs w:val="20"/>
                <w:lang w:val="en-US" w:eastAsia="lt-LT"/>
              </w:rPr>
            </w:pPr>
            <w:r w:rsidRPr="008B1593">
              <w:rPr>
                <w:sz w:val="20"/>
                <w:szCs w:val="20"/>
                <w:lang w:val="en-US" w:eastAsia="lt-LT"/>
              </w:rPr>
              <w:t>9.3.3. In case of interruption of transmission services, TSO shall inform the network users individually since when and for what period of time the gas transmission shall be restricted.</w:t>
            </w:r>
          </w:p>
        </w:tc>
        <w:tc>
          <w:tcPr>
            <w:tcW w:w="6521" w:type="dxa"/>
          </w:tcPr>
          <w:p w14:paraId="4CA5A066" w14:textId="5B52892C" w:rsidR="00542633" w:rsidRPr="008B1593" w:rsidRDefault="00B83638" w:rsidP="00827BED">
            <w:pPr>
              <w:ind w:left="34"/>
              <w:contextualSpacing/>
              <w:jc w:val="both"/>
              <w:rPr>
                <w:sz w:val="20"/>
                <w:szCs w:val="20"/>
                <w:lang w:val="en-US"/>
              </w:rPr>
            </w:pPr>
            <w:r>
              <w:rPr>
                <w:b/>
                <w:sz w:val="20"/>
                <w:szCs w:val="20"/>
                <w:lang w:val="en-US"/>
              </w:rPr>
              <w:t>Stakeholder 1</w:t>
            </w:r>
            <w:r w:rsidR="00542633">
              <w:rPr>
                <w:b/>
                <w:lang w:val="en-US"/>
              </w:rPr>
              <w:t>:</w:t>
            </w:r>
            <w:r w:rsidR="00542633" w:rsidRPr="008B1593">
              <w:rPr>
                <w:b/>
                <w:sz w:val="20"/>
                <w:szCs w:val="20"/>
                <w:lang w:val="en-US"/>
              </w:rPr>
              <w:t xml:space="preserve"> </w:t>
            </w:r>
            <w:r w:rsidR="00542633" w:rsidRPr="008B1593">
              <w:rPr>
                <w:sz w:val="20"/>
                <w:szCs w:val="20"/>
                <w:lang w:val="en-US"/>
              </w:rPr>
              <w:t>Note that this info</w:t>
            </w:r>
            <w:r w:rsidR="00542633">
              <w:rPr>
                <w:sz w:val="20"/>
                <w:szCs w:val="20"/>
                <w:lang w:val="en-US"/>
              </w:rPr>
              <w:t>rmation</w:t>
            </w:r>
            <w:r w:rsidR="00542633" w:rsidRPr="008B1593">
              <w:rPr>
                <w:sz w:val="20"/>
                <w:szCs w:val="20"/>
                <w:lang w:val="en-US"/>
              </w:rPr>
              <w:t xml:space="preserve"> also should be published publicly regarding REMIT.</w:t>
            </w:r>
          </w:p>
        </w:tc>
        <w:tc>
          <w:tcPr>
            <w:tcW w:w="6343" w:type="dxa"/>
          </w:tcPr>
          <w:p w14:paraId="09073BC7" w14:textId="77777777" w:rsidR="00542633" w:rsidRDefault="00542633" w:rsidP="00827BED">
            <w:pPr>
              <w:ind w:left="34"/>
              <w:contextualSpacing/>
              <w:jc w:val="both"/>
              <w:rPr>
                <w:sz w:val="20"/>
                <w:szCs w:val="20"/>
                <w:lang w:val="en-US"/>
              </w:rPr>
            </w:pPr>
            <w:r>
              <w:rPr>
                <w:sz w:val="20"/>
                <w:szCs w:val="20"/>
                <w:lang w:val="en-US"/>
              </w:rPr>
              <w:t>TSOs agree and comply with REMIT requirements.</w:t>
            </w:r>
            <w:r w:rsidRPr="00EF5298">
              <w:rPr>
                <w:sz w:val="20"/>
                <w:szCs w:val="20"/>
                <w:lang w:val="en-US"/>
              </w:rPr>
              <w:t xml:space="preserve"> </w:t>
            </w:r>
          </w:p>
          <w:p w14:paraId="758D0925" w14:textId="77777777" w:rsidR="00542633" w:rsidRPr="00EF5298" w:rsidRDefault="00542633" w:rsidP="00827BED">
            <w:pPr>
              <w:ind w:left="34"/>
              <w:contextualSpacing/>
              <w:jc w:val="both"/>
              <w:rPr>
                <w:sz w:val="20"/>
                <w:szCs w:val="20"/>
                <w:lang w:val="en-US"/>
              </w:rPr>
            </w:pPr>
          </w:p>
        </w:tc>
      </w:tr>
      <w:tr w:rsidR="00542633" w:rsidRPr="008B1593" w14:paraId="3EFD4D77" w14:textId="77777777" w:rsidTr="00795AD6">
        <w:trPr>
          <w:trHeight w:val="659"/>
        </w:trPr>
        <w:tc>
          <w:tcPr>
            <w:tcW w:w="2830" w:type="dxa"/>
          </w:tcPr>
          <w:p w14:paraId="3CA1E258" w14:textId="77777777" w:rsidR="00542633" w:rsidRPr="00BC6CE3" w:rsidRDefault="00542633" w:rsidP="00827BED">
            <w:pPr>
              <w:tabs>
                <w:tab w:val="left" w:pos="851"/>
              </w:tabs>
              <w:suppressAutoHyphens/>
              <w:jc w:val="both"/>
              <w:textAlignment w:val="baseline"/>
              <w:rPr>
                <w:b/>
                <w:sz w:val="20"/>
                <w:szCs w:val="20"/>
                <w:lang w:val="en-US" w:eastAsia="lt-LT"/>
              </w:rPr>
            </w:pPr>
            <w:r w:rsidRPr="00BC6CE3">
              <w:rPr>
                <w:b/>
                <w:sz w:val="20"/>
                <w:szCs w:val="20"/>
                <w:lang w:val="en-US" w:eastAsia="lt-LT"/>
              </w:rPr>
              <w:t xml:space="preserve">10. </w:t>
            </w:r>
            <w:r w:rsidRPr="00BC6CE3">
              <w:rPr>
                <w:b/>
              </w:rPr>
              <w:t xml:space="preserve"> </w:t>
            </w:r>
            <w:r w:rsidRPr="00BC6CE3">
              <w:rPr>
                <w:b/>
                <w:sz w:val="20"/>
                <w:szCs w:val="20"/>
                <w:lang w:val="en-US" w:eastAsia="lt-LT"/>
              </w:rPr>
              <w:t>Suspension or restriction of the transmission system service</w:t>
            </w:r>
          </w:p>
        </w:tc>
        <w:tc>
          <w:tcPr>
            <w:tcW w:w="6521" w:type="dxa"/>
          </w:tcPr>
          <w:p w14:paraId="29750EAE" w14:textId="60A4C94A" w:rsidR="00542633" w:rsidRPr="008B1593" w:rsidRDefault="00B83638" w:rsidP="00827BED">
            <w:pPr>
              <w:ind w:left="34"/>
              <w:contextualSpacing/>
              <w:jc w:val="both"/>
              <w:rPr>
                <w:b/>
                <w:sz w:val="20"/>
                <w:szCs w:val="20"/>
                <w:lang w:val="en-US"/>
              </w:rPr>
            </w:pPr>
            <w:r>
              <w:rPr>
                <w:b/>
                <w:sz w:val="20"/>
                <w:szCs w:val="20"/>
                <w:lang w:val="en-US"/>
              </w:rPr>
              <w:t>Stakeholder 3</w:t>
            </w:r>
            <w:r w:rsidR="00542633">
              <w:rPr>
                <w:b/>
                <w:sz w:val="20"/>
                <w:szCs w:val="20"/>
                <w:lang w:val="en-US"/>
              </w:rPr>
              <w:t xml:space="preserve">: </w:t>
            </w:r>
            <w:r w:rsidR="00542633">
              <w:t xml:space="preserve"> </w:t>
            </w:r>
            <w:r w:rsidR="00542633" w:rsidRPr="00BC6CE3">
              <w:rPr>
                <w:sz w:val="20"/>
                <w:szCs w:val="20"/>
                <w:lang w:val="en-US"/>
              </w:rPr>
              <w:t>In case of long or unplanned maintenance due to TSO fault there shall be compensation mechanism for network users. For instance, shall there be uninformed shutdown of services, TSO shall pay tariff compensation to system user the same way system users pay TSO 3 times the tariff.</w:t>
            </w:r>
          </w:p>
        </w:tc>
        <w:tc>
          <w:tcPr>
            <w:tcW w:w="6343" w:type="dxa"/>
          </w:tcPr>
          <w:p w14:paraId="0AC0F258" w14:textId="77777777" w:rsidR="00542633" w:rsidRPr="00EF5298" w:rsidRDefault="00542633" w:rsidP="00AC2555">
            <w:pPr>
              <w:ind w:left="34"/>
              <w:contextualSpacing/>
              <w:jc w:val="both"/>
              <w:rPr>
                <w:sz w:val="20"/>
                <w:szCs w:val="20"/>
                <w:lang w:val="en-US"/>
              </w:rPr>
            </w:pPr>
            <w:r>
              <w:rPr>
                <w:sz w:val="20"/>
                <w:szCs w:val="20"/>
                <w:lang w:val="en-US"/>
              </w:rPr>
              <w:t xml:space="preserve">To clarify, </w:t>
            </w:r>
            <w:r w:rsidRPr="00E81593">
              <w:rPr>
                <w:sz w:val="20"/>
                <w:szCs w:val="20"/>
                <w:lang w:val="en-US"/>
              </w:rPr>
              <w:t>TSOs are liable for confirmed capacity bookings.</w:t>
            </w:r>
            <w:r w:rsidRPr="00EF5298">
              <w:rPr>
                <w:sz w:val="20"/>
                <w:szCs w:val="20"/>
                <w:lang w:val="en-US"/>
              </w:rPr>
              <w:t xml:space="preserve"> </w:t>
            </w:r>
          </w:p>
        </w:tc>
      </w:tr>
      <w:tr w:rsidR="00542633" w:rsidRPr="008B1593" w14:paraId="1C046C02" w14:textId="77777777" w:rsidTr="00795AD6">
        <w:trPr>
          <w:trHeight w:val="659"/>
        </w:trPr>
        <w:tc>
          <w:tcPr>
            <w:tcW w:w="2830" w:type="dxa"/>
          </w:tcPr>
          <w:p w14:paraId="169195A4" w14:textId="77777777" w:rsidR="00542633" w:rsidRPr="008B1593" w:rsidRDefault="00542633" w:rsidP="00827BED">
            <w:pPr>
              <w:tabs>
                <w:tab w:val="left" w:pos="851"/>
              </w:tabs>
              <w:suppressAutoHyphens/>
              <w:jc w:val="both"/>
              <w:textAlignment w:val="baseline"/>
              <w:rPr>
                <w:b/>
                <w:sz w:val="20"/>
                <w:szCs w:val="20"/>
                <w:lang w:val="en-US" w:eastAsia="lt-LT"/>
              </w:rPr>
            </w:pPr>
            <w:r w:rsidRPr="008B1593">
              <w:rPr>
                <w:sz w:val="20"/>
                <w:szCs w:val="20"/>
                <w:lang w:val="en-US" w:eastAsia="lt-LT"/>
              </w:rPr>
              <w:t xml:space="preserve">10.1.1.2 the pressure of the gas input flow does not meet the requirements set out in the cooperation agreement between natural gas network operators or the </w:t>
            </w:r>
            <w:r w:rsidRPr="008B1593">
              <w:rPr>
                <w:b/>
                <w:sz w:val="20"/>
                <w:szCs w:val="20"/>
                <w:lang w:val="en-US" w:eastAsia="lt-LT"/>
              </w:rPr>
              <w:t>Connection Agreement</w:t>
            </w:r>
            <w:r w:rsidRPr="008B1593">
              <w:rPr>
                <w:sz w:val="20"/>
                <w:szCs w:val="20"/>
                <w:lang w:val="en-US" w:eastAsia="lt-LT"/>
              </w:rPr>
              <w:t>;</w:t>
            </w:r>
          </w:p>
        </w:tc>
        <w:tc>
          <w:tcPr>
            <w:tcW w:w="6521" w:type="dxa"/>
          </w:tcPr>
          <w:p w14:paraId="6A266C06" w14:textId="2E3CEB18" w:rsidR="00542633" w:rsidRPr="008B1593" w:rsidRDefault="00B83638" w:rsidP="00827BED">
            <w:pPr>
              <w:ind w:left="34"/>
              <w:contextualSpacing/>
              <w:jc w:val="both"/>
              <w:rPr>
                <w:sz w:val="20"/>
                <w:szCs w:val="20"/>
                <w:lang w:val="en-US"/>
              </w:rPr>
            </w:pPr>
            <w:r>
              <w:rPr>
                <w:b/>
                <w:sz w:val="20"/>
                <w:szCs w:val="20"/>
                <w:lang w:val="en-US"/>
              </w:rPr>
              <w:t>Stakeholder 1</w:t>
            </w:r>
            <w:r w:rsidR="00542633">
              <w:rPr>
                <w:b/>
                <w:lang w:val="en-US"/>
              </w:rPr>
              <w:t>:</w:t>
            </w:r>
            <w:r w:rsidR="00542633" w:rsidRPr="008B1593">
              <w:rPr>
                <w:b/>
                <w:sz w:val="20"/>
                <w:szCs w:val="20"/>
                <w:lang w:val="en-US"/>
              </w:rPr>
              <w:t xml:space="preserve"> </w:t>
            </w:r>
            <w:r w:rsidR="00542633" w:rsidRPr="008B1593">
              <w:rPr>
                <w:sz w:val="20"/>
                <w:szCs w:val="20"/>
                <w:lang w:val="en-US"/>
              </w:rPr>
              <w:t>Connection Agreement definition is not defined in these Rules. Please clarify if it is a connection to the grid agreement in mind. Please describe what kind of agreement is it.</w:t>
            </w:r>
          </w:p>
          <w:p w14:paraId="5F0B0BE7" w14:textId="77777777" w:rsidR="00542633" w:rsidRPr="008B1593" w:rsidRDefault="00542633" w:rsidP="00827BED">
            <w:pPr>
              <w:ind w:left="34"/>
              <w:contextualSpacing/>
              <w:jc w:val="both"/>
              <w:rPr>
                <w:sz w:val="20"/>
                <w:szCs w:val="20"/>
                <w:lang w:val="en-US"/>
              </w:rPr>
            </w:pPr>
          </w:p>
          <w:p w14:paraId="45D48212" w14:textId="77777777" w:rsidR="00542633" w:rsidRPr="008B1593" w:rsidRDefault="00542633" w:rsidP="00827BED">
            <w:pPr>
              <w:ind w:left="34"/>
              <w:contextualSpacing/>
              <w:jc w:val="both"/>
              <w:rPr>
                <w:sz w:val="20"/>
                <w:szCs w:val="20"/>
                <w:lang w:val="en-US"/>
              </w:rPr>
            </w:pPr>
            <w:r w:rsidRPr="008B1593">
              <w:rPr>
                <w:sz w:val="20"/>
                <w:szCs w:val="20"/>
                <w:lang w:val="en-US"/>
              </w:rPr>
              <w:t>This document purpose is to determine access to the system rules, term and conditions of the transportation contracts Thus, connection to the grid process should be defined in a separate document, because it is not related with the purpose of this document.</w:t>
            </w:r>
          </w:p>
        </w:tc>
        <w:tc>
          <w:tcPr>
            <w:tcW w:w="6343" w:type="dxa"/>
          </w:tcPr>
          <w:p w14:paraId="048ECEA0" w14:textId="77777777" w:rsidR="00542633" w:rsidRPr="00EF5298" w:rsidRDefault="00542633" w:rsidP="00827BED">
            <w:pPr>
              <w:ind w:left="34"/>
              <w:contextualSpacing/>
              <w:jc w:val="both"/>
              <w:rPr>
                <w:sz w:val="20"/>
                <w:szCs w:val="20"/>
                <w:lang w:val="en-US"/>
              </w:rPr>
            </w:pPr>
            <w:r w:rsidRPr="00EF5298">
              <w:rPr>
                <w:sz w:val="20"/>
                <w:szCs w:val="20"/>
                <w:lang w:val="en-US"/>
              </w:rPr>
              <w:t>Proposal taken into account.</w:t>
            </w:r>
          </w:p>
        </w:tc>
      </w:tr>
      <w:tr w:rsidR="00542633" w:rsidRPr="008B1593" w14:paraId="40DFC03E" w14:textId="77777777" w:rsidTr="00795AD6">
        <w:trPr>
          <w:trHeight w:val="659"/>
        </w:trPr>
        <w:tc>
          <w:tcPr>
            <w:tcW w:w="2830" w:type="dxa"/>
          </w:tcPr>
          <w:p w14:paraId="70B059DF" w14:textId="77777777" w:rsidR="00542633" w:rsidRPr="008B1593" w:rsidRDefault="00542633" w:rsidP="00827BED">
            <w:pPr>
              <w:tabs>
                <w:tab w:val="left" w:pos="851"/>
              </w:tabs>
              <w:suppressAutoHyphens/>
              <w:jc w:val="both"/>
              <w:textAlignment w:val="baseline"/>
              <w:rPr>
                <w:b/>
                <w:sz w:val="20"/>
                <w:szCs w:val="20"/>
                <w:lang w:val="en-US" w:eastAsia="lt-LT"/>
              </w:rPr>
            </w:pPr>
            <w:r>
              <w:rPr>
                <w:b/>
                <w:sz w:val="20"/>
                <w:szCs w:val="20"/>
                <w:lang w:val="en-US" w:eastAsia="lt-LT"/>
              </w:rPr>
              <w:lastRenderedPageBreak/>
              <w:t xml:space="preserve">11. </w:t>
            </w:r>
            <w:r>
              <w:t xml:space="preserve"> </w:t>
            </w:r>
            <w:r w:rsidRPr="00BC6CE3">
              <w:rPr>
                <w:b/>
                <w:sz w:val="20"/>
                <w:szCs w:val="20"/>
                <w:lang w:val="en-US" w:eastAsia="lt-LT"/>
              </w:rPr>
              <w:t>Invoicing and settlement</w:t>
            </w:r>
          </w:p>
        </w:tc>
        <w:tc>
          <w:tcPr>
            <w:tcW w:w="6521" w:type="dxa"/>
          </w:tcPr>
          <w:p w14:paraId="3874B55A" w14:textId="41863CC5" w:rsidR="00542633" w:rsidRPr="008B1593" w:rsidRDefault="00B83638" w:rsidP="00827BED">
            <w:pPr>
              <w:ind w:left="34"/>
              <w:contextualSpacing/>
              <w:jc w:val="both"/>
              <w:rPr>
                <w:b/>
                <w:sz w:val="20"/>
                <w:szCs w:val="20"/>
                <w:lang w:val="en-US"/>
              </w:rPr>
            </w:pPr>
            <w:r>
              <w:rPr>
                <w:b/>
                <w:sz w:val="20"/>
                <w:szCs w:val="20"/>
                <w:lang w:val="en-US"/>
              </w:rPr>
              <w:t>Stakeholder 3</w:t>
            </w:r>
            <w:r w:rsidR="00542633">
              <w:rPr>
                <w:b/>
                <w:sz w:val="20"/>
                <w:szCs w:val="20"/>
                <w:lang w:val="en-US"/>
              </w:rPr>
              <w:t xml:space="preserve">: </w:t>
            </w:r>
            <w:r w:rsidR="00542633">
              <w:t xml:space="preserve"> </w:t>
            </w:r>
            <w:r w:rsidR="00542633" w:rsidRPr="00BC6CE3">
              <w:rPr>
                <w:sz w:val="20"/>
                <w:szCs w:val="20"/>
                <w:lang w:val="en-US"/>
              </w:rPr>
              <w:t>For financial reporting reasons we would see a huge advantage to receive invoices earlier than the 10th of the month. Every day earlier would be a great support.</w:t>
            </w:r>
          </w:p>
        </w:tc>
        <w:tc>
          <w:tcPr>
            <w:tcW w:w="6343" w:type="dxa"/>
          </w:tcPr>
          <w:p w14:paraId="705E028D" w14:textId="77777777" w:rsidR="00542633" w:rsidRDefault="00542633" w:rsidP="00827BED">
            <w:pPr>
              <w:ind w:left="34"/>
              <w:contextualSpacing/>
              <w:jc w:val="both"/>
              <w:rPr>
                <w:sz w:val="20"/>
                <w:szCs w:val="20"/>
                <w:lang w:val="en-US"/>
              </w:rPr>
            </w:pPr>
            <w:r w:rsidRPr="00EF5298">
              <w:rPr>
                <w:sz w:val="20"/>
                <w:szCs w:val="20"/>
                <w:lang w:val="en-US"/>
              </w:rPr>
              <w:t xml:space="preserve">Proposal will be taken into account in future development. </w:t>
            </w:r>
          </w:p>
          <w:p w14:paraId="6194D8A7" w14:textId="77777777" w:rsidR="00542633" w:rsidRPr="00EF5298" w:rsidRDefault="00542633" w:rsidP="00827BED">
            <w:pPr>
              <w:ind w:left="34"/>
              <w:contextualSpacing/>
              <w:jc w:val="both"/>
              <w:rPr>
                <w:sz w:val="20"/>
                <w:szCs w:val="20"/>
                <w:lang w:val="en-US"/>
              </w:rPr>
            </w:pPr>
            <w:r w:rsidRPr="00EF5298">
              <w:rPr>
                <w:sz w:val="20"/>
                <w:szCs w:val="20"/>
                <w:lang w:val="en-US"/>
              </w:rPr>
              <w:t>Currently date of allocation and invoicing is dependent on other deadlines which are set in national legislation and agreements between operators, changing of which will take considerable amount of time.</w:t>
            </w:r>
          </w:p>
        </w:tc>
      </w:tr>
      <w:tr w:rsidR="00542633" w:rsidRPr="008B1593" w14:paraId="57724EAD" w14:textId="77777777" w:rsidTr="00795AD6">
        <w:trPr>
          <w:trHeight w:val="659"/>
        </w:trPr>
        <w:tc>
          <w:tcPr>
            <w:tcW w:w="2830" w:type="dxa"/>
          </w:tcPr>
          <w:p w14:paraId="62DEE902" w14:textId="77777777" w:rsidR="00542633" w:rsidRPr="008B1593" w:rsidRDefault="00542633" w:rsidP="00827BED">
            <w:pPr>
              <w:tabs>
                <w:tab w:val="left" w:pos="851"/>
              </w:tabs>
              <w:suppressAutoHyphens/>
              <w:jc w:val="both"/>
              <w:textAlignment w:val="baseline"/>
              <w:rPr>
                <w:b/>
                <w:sz w:val="20"/>
                <w:szCs w:val="20"/>
                <w:lang w:val="en-US" w:eastAsia="lt-LT"/>
              </w:rPr>
            </w:pPr>
            <w:r w:rsidRPr="008B1593">
              <w:rPr>
                <w:b/>
                <w:sz w:val="20"/>
                <w:szCs w:val="20"/>
                <w:lang w:val="en-US" w:eastAsia="lt-LT"/>
              </w:rPr>
              <w:t>12. Creditworthiness, credit management and collaterals</w:t>
            </w:r>
          </w:p>
        </w:tc>
        <w:tc>
          <w:tcPr>
            <w:tcW w:w="6521" w:type="dxa"/>
          </w:tcPr>
          <w:p w14:paraId="1C9DCD71" w14:textId="7958FACA" w:rsidR="00542633" w:rsidRPr="008B1593" w:rsidRDefault="00B83638" w:rsidP="00827BED">
            <w:pPr>
              <w:ind w:left="34"/>
              <w:contextualSpacing/>
              <w:jc w:val="both"/>
              <w:rPr>
                <w:sz w:val="20"/>
                <w:szCs w:val="20"/>
                <w:lang w:val="en-US"/>
              </w:rPr>
            </w:pPr>
            <w:r>
              <w:rPr>
                <w:b/>
                <w:sz w:val="20"/>
                <w:szCs w:val="20"/>
                <w:lang w:val="en-US"/>
              </w:rPr>
              <w:t>Stakeholder 1</w:t>
            </w:r>
            <w:r w:rsidR="00542633">
              <w:rPr>
                <w:b/>
                <w:lang w:val="en-US"/>
              </w:rPr>
              <w:t>:</w:t>
            </w:r>
            <w:r w:rsidR="00542633" w:rsidRPr="008B1593">
              <w:rPr>
                <w:b/>
                <w:sz w:val="20"/>
                <w:szCs w:val="20"/>
                <w:lang w:val="en-US"/>
              </w:rPr>
              <w:t xml:space="preserve"> </w:t>
            </w:r>
            <w:r w:rsidR="00542633" w:rsidRPr="008B1593">
              <w:rPr>
                <w:sz w:val="20"/>
                <w:szCs w:val="20"/>
                <w:lang w:val="en-US"/>
              </w:rPr>
              <w:t>BAL NC Art. 30 (2):</w:t>
            </w:r>
          </w:p>
          <w:p w14:paraId="6CDF281D" w14:textId="77777777" w:rsidR="00542633" w:rsidRPr="008B1593" w:rsidRDefault="00542633" w:rsidP="00827BED">
            <w:pPr>
              <w:ind w:left="34"/>
              <w:contextualSpacing/>
              <w:jc w:val="both"/>
              <w:rPr>
                <w:sz w:val="20"/>
                <w:szCs w:val="20"/>
                <w:lang w:val="en-US"/>
              </w:rPr>
            </w:pPr>
            <w:r w:rsidRPr="008B1593">
              <w:rPr>
                <w:sz w:val="20"/>
                <w:szCs w:val="20"/>
                <w:lang w:val="en-US"/>
              </w:rPr>
              <w:t>„</w:t>
            </w:r>
            <w:r w:rsidRPr="008B1593">
              <w:rPr>
                <w:i/>
                <w:sz w:val="20"/>
                <w:szCs w:val="20"/>
                <w:lang w:val="en-US"/>
              </w:rPr>
              <w:t>2. The national regulatory authority shall set or approve and publish the methodology for the calculation of the neutrality charges for balancing, including their apportionment amongst network users and credit risk management rules</w:t>
            </w:r>
            <w:r w:rsidRPr="008B1593">
              <w:rPr>
                <w:sz w:val="20"/>
                <w:szCs w:val="20"/>
                <w:lang w:val="en-US"/>
              </w:rPr>
              <w:t>.“</w:t>
            </w:r>
          </w:p>
          <w:p w14:paraId="4812C5FD" w14:textId="77777777" w:rsidR="00542633" w:rsidRPr="008B1593" w:rsidRDefault="00542633" w:rsidP="00827BED">
            <w:pPr>
              <w:ind w:left="34"/>
              <w:contextualSpacing/>
              <w:jc w:val="both"/>
              <w:rPr>
                <w:sz w:val="20"/>
                <w:szCs w:val="20"/>
                <w:lang w:val="en-US"/>
              </w:rPr>
            </w:pPr>
          </w:p>
          <w:p w14:paraId="134252A7" w14:textId="77777777" w:rsidR="00542633" w:rsidRPr="008B1593" w:rsidRDefault="00542633" w:rsidP="00827BED">
            <w:pPr>
              <w:ind w:left="34"/>
              <w:contextualSpacing/>
              <w:jc w:val="both"/>
              <w:rPr>
                <w:sz w:val="20"/>
                <w:szCs w:val="20"/>
                <w:lang w:val="en-US"/>
              </w:rPr>
            </w:pPr>
            <w:r w:rsidRPr="008B1593">
              <w:rPr>
                <w:sz w:val="20"/>
                <w:szCs w:val="20"/>
                <w:lang w:val="en-US"/>
              </w:rPr>
              <w:t>Credit management rules of TSO including creditworthiness, credit management and collaterals of network users should be approved by the NRAs.</w:t>
            </w:r>
          </w:p>
          <w:p w14:paraId="72699F0A" w14:textId="77777777" w:rsidR="00542633" w:rsidRPr="008B1593" w:rsidRDefault="00542633" w:rsidP="00827BED">
            <w:pPr>
              <w:ind w:left="34"/>
              <w:contextualSpacing/>
              <w:jc w:val="both"/>
              <w:rPr>
                <w:sz w:val="20"/>
                <w:szCs w:val="20"/>
                <w:lang w:val="en-US"/>
              </w:rPr>
            </w:pPr>
            <w:r w:rsidRPr="008B1593">
              <w:rPr>
                <w:sz w:val="20"/>
                <w:szCs w:val="20"/>
                <w:lang w:val="en-US"/>
              </w:rPr>
              <w:t>Since the transmission service agreement is not consulted it is not clear how the requirements would be implemented. If it is not implemented by approving this document NRAs need to approve it by the other decision. Since, there is a common balancing zone TSOs and NRAs should match and comply differences of national legislation and approve single conditions for market participants to enter the market otherwise network users would be discriminated regarded geographical area.</w:t>
            </w:r>
          </w:p>
        </w:tc>
        <w:tc>
          <w:tcPr>
            <w:tcW w:w="6343" w:type="dxa"/>
          </w:tcPr>
          <w:p w14:paraId="590742AF" w14:textId="14420D4F" w:rsidR="00542633" w:rsidRDefault="00542633" w:rsidP="00827BED">
            <w:pPr>
              <w:ind w:left="34"/>
              <w:contextualSpacing/>
              <w:jc w:val="both"/>
              <w:rPr>
                <w:sz w:val="20"/>
                <w:szCs w:val="20"/>
                <w:lang w:val="en-US"/>
              </w:rPr>
            </w:pPr>
            <w:r>
              <w:rPr>
                <w:sz w:val="20"/>
                <w:szCs w:val="20"/>
                <w:lang w:val="en-US"/>
              </w:rPr>
              <w:t>Taking into account the current differences in the national legislation of Estonia and Latvia, the collateral rules</w:t>
            </w:r>
            <w:r w:rsidRPr="00EF5298">
              <w:rPr>
                <w:sz w:val="20"/>
                <w:szCs w:val="20"/>
                <w:lang w:val="en-US"/>
              </w:rPr>
              <w:t xml:space="preserve"> </w:t>
            </w:r>
            <w:r>
              <w:rPr>
                <w:sz w:val="20"/>
                <w:szCs w:val="20"/>
                <w:lang w:val="en-US"/>
              </w:rPr>
              <w:t xml:space="preserve">in the beginning of the common balancing zone application </w:t>
            </w:r>
            <w:r w:rsidRPr="00EF5298">
              <w:rPr>
                <w:sz w:val="20"/>
                <w:szCs w:val="20"/>
                <w:lang w:val="en-US"/>
              </w:rPr>
              <w:t xml:space="preserve">will </w:t>
            </w:r>
            <w:r>
              <w:rPr>
                <w:sz w:val="20"/>
                <w:szCs w:val="20"/>
                <w:lang w:val="en-US"/>
              </w:rPr>
              <w:t>be different (i.e. approved within the applicable legal framework of each national regulatory authority)</w:t>
            </w:r>
            <w:r w:rsidRPr="00EF5298">
              <w:rPr>
                <w:sz w:val="20"/>
                <w:szCs w:val="20"/>
                <w:lang w:val="en-US"/>
              </w:rPr>
              <w:t xml:space="preserve">, until it will be possible to unify. </w:t>
            </w:r>
            <w:r>
              <w:rPr>
                <w:sz w:val="20"/>
                <w:szCs w:val="20"/>
                <w:lang w:val="en-US"/>
              </w:rPr>
              <w:t>According to Article 14(3) of Regulation 715/2009 the third-party access services may be granted subject to appropriate guarantees from network users with respect to the creditworthiness of such users. TSOs agree that the national laws of Estonia and Latvia should be harmonized that such guarantees should not constitute undue market-entry barriers and should be non-discriminatory, transparent and proportionate.</w:t>
            </w:r>
          </w:p>
          <w:p w14:paraId="06961DC0" w14:textId="77777777" w:rsidR="00542633" w:rsidRDefault="00542633" w:rsidP="00827BED">
            <w:pPr>
              <w:ind w:left="34"/>
              <w:contextualSpacing/>
              <w:jc w:val="both"/>
              <w:rPr>
                <w:sz w:val="20"/>
                <w:szCs w:val="20"/>
                <w:lang w:val="en-US"/>
              </w:rPr>
            </w:pPr>
          </w:p>
          <w:p w14:paraId="480010FD" w14:textId="77777777" w:rsidR="00542633" w:rsidRPr="00EF5298" w:rsidRDefault="00542633" w:rsidP="00827BED">
            <w:pPr>
              <w:ind w:left="34"/>
              <w:contextualSpacing/>
              <w:jc w:val="both"/>
              <w:rPr>
                <w:sz w:val="20"/>
                <w:szCs w:val="20"/>
                <w:lang w:val="en-US"/>
              </w:rPr>
            </w:pPr>
          </w:p>
          <w:p w14:paraId="45988344" w14:textId="77777777" w:rsidR="00542633" w:rsidRPr="00EF5298" w:rsidRDefault="00542633" w:rsidP="00226DEE">
            <w:pPr>
              <w:ind w:left="34"/>
              <w:contextualSpacing/>
              <w:jc w:val="both"/>
              <w:rPr>
                <w:sz w:val="20"/>
                <w:szCs w:val="20"/>
                <w:lang w:val="en-US"/>
              </w:rPr>
            </w:pPr>
            <w:r>
              <w:rPr>
                <w:sz w:val="20"/>
                <w:szCs w:val="20"/>
                <w:lang w:val="en-US"/>
              </w:rPr>
              <w:t>TSOs will consult and align with the national regulatory authorities</w:t>
            </w:r>
            <w:r w:rsidRPr="00EF5298">
              <w:rPr>
                <w:sz w:val="20"/>
                <w:szCs w:val="20"/>
                <w:lang w:val="en-US"/>
              </w:rPr>
              <w:t>.</w:t>
            </w:r>
          </w:p>
        </w:tc>
      </w:tr>
      <w:tr w:rsidR="00542633" w:rsidRPr="008B1593" w14:paraId="7A210894" w14:textId="77777777" w:rsidTr="00795AD6">
        <w:trPr>
          <w:trHeight w:val="659"/>
        </w:trPr>
        <w:tc>
          <w:tcPr>
            <w:tcW w:w="2830" w:type="dxa"/>
          </w:tcPr>
          <w:p w14:paraId="574131BE" w14:textId="77777777" w:rsidR="00542633" w:rsidRDefault="00542633" w:rsidP="00827BED">
            <w:pPr>
              <w:tabs>
                <w:tab w:val="left" w:pos="851"/>
              </w:tabs>
              <w:suppressAutoHyphens/>
              <w:jc w:val="both"/>
              <w:textAlignment w:val="baseline"/>
              <w:rPr>
                <w:b/>
                <w:sz w:val="20"/>
                <w:szCs w:val="20"/>
                <w:lang w:val="en-US" w:eastAsia="lt-LT"/>
              </w:rPr>
            </w:pPr>
            <w:r>
              <w:rPr>
                <w:b/>
                <w:sz w:val="20"/>
                <w:szCs w:val="20"/>
                <w:lang w:val="en-US" w:eastAsia="lt-LT"/>
              </w:rPr>
              <w:t>14.</w:t>
            </w:r>
            <w:r>
              <w:t xml:space="preserve"> </w:t>
            </w:r>
            <w:r w:rsidRPr="00BC6CE3">
              <w:rPr>
                <w:b/>
                <w:sz w:val="20"/>
                <w:szCs w:val="20"/>
                <w:lang w:val="en-US" w:eastAsia="lt-LT"/>
              </w:rPr>
              <w:t xml:space="preserve">Validity period, amendment and termination of the transmission service agreement </w:t>
            </w:r>
            <w:r>
              <w:rPr>
                <w:b/>
                <w:sz w:val="20"/>
                <w:szCs w:val="20"/>
                <w:lang w:val="en-US" w:eastAsia="lt-LT"/>
              </w:rPr>
              <w:t xml:space="preserve"> </w:t>
            </w:r>
          </w:p>
        </w:tc>
        <w:tc>
          <w:tcPr>
            <w:tcW w:w="6521" w:type="dxa"/>
          </w:tcPr>
          <w:p w14:paraId="7B1E1944" w14:textId="29148052" w:rsidR="00542633" w:rsidRPr="008B1593" w:rsidRDefault="00B83638" w:rsidP="00827BED">
            <w:pPr>
              <w:ind w:left="34"/>
              <w:contextualSpacing/>
              <w:jc w:val="both"/>
              <w:rPr>
                <w:b/>
                <w:sz w:val="20"/>
                <w:szCs w:val="20"/>
                <w:lang w:val="en-US"/>
              </w:rPr>
            </w:pPr>
            <w:r>
              <w:rPr>
                <w:b/>
                <w:sz w:val="20"/>
                <w:szCs w:val="20"/>
                <w:lang w:val="en-US"/>
              </w:rPr>
              <w:t>Stakeholder 3</w:t>
            </w:r>
            <w:r w:rsidR="00542633">
              <w:rPr>
                <w:b/>
                <w:sz w:val="20"/>
                <w:szCs w:val="20"/>
                <w:lang w:val="en-US"/>
              </w:rPr>
              <w:t xml:space="preserve">: </w:t>
            </w:r>
            <w:r w:rsidR="00542633">
              <w:t xml:space="preserve"> </w:t>
            </w:r>
            <w:r w:rsidR="00542633" w:rsidRPr="00BC6CE3">
              <w:rPr>
                <w:sz w:val="20"/>
                <w:szCs w:val="20"/>
                <w:lang w:val="en-US"/>
              </w:rPr>
              <w:t>For the sake of clarity, we suggest to mention that contract is valid for indefinite period of time.</w:t>
            </w:r>
          </w:p>
        </w:tc>
        <w:tc>
          <w:tcPr>
            <w:tcW w:w="6343" w:type="dxa"/>
          </w:tcPr>
          <w:p w14:paraId="4CBC3E56" w14:textId="77777777" w:rsidR="00542633" w:rsidRDefault="00542633" w:rsidP="00827BED">
            <w:pPr>
              <w:ind w:left="34"/>
              <w:contextualSpacing/>
              <w:jc w:val="both"/>
              <w:rPr>
                <w:sz w:val="20"/>
                <w:szCs w:val="20"/>
                <w:lang w:val="en-US"/>
              </w:rPr>
            </w:pPr>
            <w:r w:rsidRPr="00EF5298">
              <w:rPr>
                <w:sz w:val="20"/>
                <w:szCs w:val="20"/>
                <w:lang w:val="en-US"/>
              </w:rPr>
              <w:t xml:space="preserve">Proposal taken into account. </w:t>
            </w:r>
          </w:p>
          <w:p w14:paraId="6CB0542A" w14:textId="77777777" w:rsidR="00542633" w:rsidRPr="00EF5298" w:rsidRDefault="00542633" w:rsidP="00827BED">
            <w:pPr>
              <w:ind w:left="34"/>
              <w:contextualSpacing/>
              <w:jc w:val="both"/>
              <w:rPr>
                <w:sz w:val="20"/>
                <w:szCs w:val="20"/>
                <w:lang w:val="en-US"/>
              </w:rPr>
            </w:pPr>
            <w:r w:rsidRPr="00EF5298">
              <w:rPr>
                <w:sz w:val="20"/>
                <w:szCs w:val="20"/>
                <w:lang w:val="en-US"/>
              </w:rPr>
              <w:t xml:space="preserve">Such provision will be included in </w:t>
            </w:r>
            <w:r>
              <w:rPr>
                <w:sz w:val="20"/>
                <w:szCs w:val="20"/>
                <w:lang w:val="en-US"/>
              </w:rPr>
              <w:t xml:space="preserve">the transmission service </w:t>
            </w:r>
            <w:r w:rsidRPr="00EF5298">
              <w:rPr>
                <w:sz w:val="20"/>
                <w:szCs w:val="20"/>
                <w:lang w:val="en-US"/>
              </w:rPr>
              <w:t>agreement.</w:t>
            </w:r>
          </w:p>
        </w:tc>
      </w:tr>
      <w:tr w:rsidR="00542633" w:rsidRPr="008B1593" w14:paraId="01FA118F" w14:textId="77777777" w:rsidTr="00795AD6">
        <w:trPr>
          <w:trHeight w:val="659"/>
        </w:trPr>
        <w:tc>
          <w:tcPr>
            <w:tcW w:w="2830" w:type="dxa"/>
          </w:tcPr>
          <w:p w14:paraId="605320FB" w14:textId="77777777" w:rsidR="00542633" w:rsidRPr="008B1593" w:rsidRDefault="00542633" w:rsidP="00827BED">
            <w:pPr>
              <w:tabs>
                <w:tab w:val="left" w:pos="851"/>
              </w:tabs>
              <w:suppressAutoHyphens/>
              <w:jc w:val="both"/>
              <w:textAlignment w:val="baseline"/>
              <w:rPr>
                <w:b/>
                <w:sz w:val="20"/>
                <w:szCs w:val="20"/>
                <w:lang w:val="en-US" w:eastAsia="lt-LT"/>
              </w:rPr>
            </w:pPr>
            <w:r>
              <w:rPr>
                <w:b/>
                <w:sz w:val="20"/>
                <w:szCs w:val="20"/>
                <w:lang w:val="en-US" w:eastAsia="lt-LT"/>
              </w:rPr>
              <w:t>19. Final provisions</w:t>
            </w:r>
          </w:p>
        </w:tc>
        <w:tc>
          <w:tcPr>
            <w:tcW w:w="6521" w:type="dxa"/>
          </w:tcPr>
          <w:p w14:paraId="702529E7" w14:textId="77777777" w:rsidR="00542633" w:rsidRPr="008B1593" w:rsidRDefault="00542633" w:rsidP="00827BED">
            <w:pPr>
              <w:ind w:left="34"/>
              <w:contextualSpacing/>
              <w:jc w:val="both"/>
              <w:rPr>
                <w:b/>
                <w:sz w:val="20"/>
                <w:szCs w:val="20"/>
                <w:lang w:val="en-US"/>
              </w:rPr>
            </w:pPr>
          </w:p>
        </w:tc>
        <w:tc>
          <w:tcPr>
            <w:tcW w:w="6343" w:type="dxa"/>
          </w:tcPr>
          <w:p w14:paraId="5CC57243" w14:textId="77777777" w:rsidR="00542633" w:rsidRPr="00EF5298" w:rsidRDefault="00542633" w:rsidP="00827BED">
            <w:pPr>
              <w:ind w:left="34"/>
              <w:contextualSpacing/>
              <w:jc w:val="both"/>
              <w:rPr>
                <w:sz w:val="20"/>
                <w:szCs w:val="20"/>
                <w:lang w:val="en-US"/>
              </w:rPr>
            </w:pPr>
          </w:p>
        </w:tc>
      </w:tr>
      <w:tr w:rsidR="00542633" w:rsidRPr="008B1593" w14:paraId="4569C732" w14:textId="77777777" w:rsidTr="00795AD6">
        <w:trPr>
          <w:trHeight w:val="659"/>
        </w:trPr>
        <w:tc>
          <w:tcPr>
            <w:tcW w:w="2830" w:type="dxa"/>
          </w:tcPr>
          <w:p w14:paraId="7180595D" w14:textId="77777777" w:rsidR="00542633" w:rsidRPr="00E04F46" w:rsidRDefault="00542633" w:rsidP="00827BED">
            <w:pPr>
              <w:tabs>
                <w:tab w:val="left" w:pos="851"/>
              </w:tabs>
              <w:suppressAutoHyphens/>
              <w:jc w:val="both"/>
              <w:textAlignment w:val="baseline"/>
              <w:rPr>
                <w:sz w:val="20"/>
                <w:szCs w:val="20"/>
                <w:lang w:val="en-US" w:eastAsia="lt-LT"/>
              </w:rPr>
            </w:pPr>
            <w:r w:rsidRPr="00E04F46">
              <w:rPr>
                <w:sz w:val="20"/>
                <w:szCs w:val="20"/>
                <w:lang w:val="en-US" w:eastAsia="lt-LT"/>
              </w:rPr>
              <w:t>19.5.</w:t>
            </w:r>
            <w:r>
              <w:t xml:space="preserve"> </w:t>
            </w:r>
            <w:r w:rsidRPr="00E04F46">
              <w:rPr>
                <w:sz w:val="20"/>
                <w:szCs w:val="20"/>
                <w:lang w:val="en-US" w:eastAsia="lt-LT"/>
              </w:rPr>
              <w:t xml:space="preserve">The network users who have a contractual arrangement in force for the provision of transmission services and the balancing in the transmission system with the TSO in force on 31 December, 2019 and who want to receive the transmission system services in the common balancing zone shall be under the obligation to submit to the TSO the application and documents set out in article 3 of these standard terms and conditions with a pre-condition that the balancing agreement is concluded with the same TSO in </w:t>
            </w:r>
            <w:r w:rsidRPr="00E04F46">
              <w:rPr>
                <w:sz w:val="20"/>
                <w:szCs w:val="20"/>
                <w:lang w:val="en-US" w:eastAsia="lt-LT"/>
              </w:rPr>
              <w:lastRenderedPageBreak/>
              <w:t>accordance with the balancing rules of the common balancing zone.</w:t>
            </w:r>
            <w:r>
              <w:rPr>
                <w:sz w:val="20"/>
                <w:szCs w:val="20"/>
                <w:lang w:val="en-US" w:eastAsia="lt-LT"/>
              </w:rPr>
              <w:t xml:space="preserve"> </w:t>
            </w:r>
          </w:p>
        </w:tc>
        <w:tc>
          <w:tcPr>
            <w:tcW w:w="6521" w:type="dxa"/>
          </w:tcPr>
          <w:p w14:paraId="63F12A63" w14:textId="0E23166D" w:rsidR="00542633" w:rsidRPr="00E04F46" w:rsidRDefault="00542633" w:rsidP="00827BED">
            <w:pPr>
              <w:ind w:left="34"/>
              <w:contextualSpacing/>
              <w:jc w:val="both"/>
              <w:rPr>
                <w:sz w:val="20"/>
                <w:szCs w:val="20"/>
                <w:lang w:val="en-US"/>
              </w:rPr>
            </w:pPr>
            <w:r>
              <w:rPr>
                <w:b/>
                <w:sz w:val="20"/>
                <w:szCs w:val="20"/>
                <w:lang w:val="en-US"/>
              </w:rPr>
              <w:lastRenderedPageBreak/>
              <w:t xml:space="preserve"> </w:t>
            </w:r>
            <w:r w:rsidR="00B83638">
              <w:rPr>
                <w:b/>
                <w:sz w:val="20"/>
                <w:szCs w:val="20"/>
                <w:lang w:val="en-US"/>
              </w:rPr>
              <w:t>Stakeholder 2</w:t>
            </w:r>
            <w:r>
              <w:rPr>
                <w:b/>
                <w:sz w:val="20"/>
                <w:szCs w:val="20"/>
                <w:lang w:val="en-US"/>
              </w:rPr>
              <w:t xml:space="preserve">: </w:t>
            </w:r>
            <w:r>
              <w:t xml:space="preserve"> </w:t>
            </w:r>
            <w:r w:rsidRPr="00E04F46">
              <w:rPr>
                <w:sz w:val="20"/>
                <w:szCs w:val="20"/>
                <w:lang w:val="en-US"/>
              </w:rPr>
              <w:t xml:space="preserve">Already active network users should submit the initial documents in order to get access to common zone. </w:t>
            </w:r>
          </w:p>
          <w:p w14:paraId="35F41492" w14:textId="77777777" w:rsidR="00542633" w:rsidRPr="008B1593" w:rsidRDefault="00542633" w:rsidP="00827BED">
            <w:pPr>
              <w:ind w:left="34"/>
              <w:contextualSpacing/>
              <w:jc w:val="both"/>
              <w:rPr>
                <w:b/>
                <w:sz w:val="20"/>
                <w:szCs w:val="20"/>
                <w:lang w:val="en-US"/>
              </w:rPr>
            </w:pPr>
            <w:r w:rsidRPr="00E04F46">
              <w:rPr>
                <w:sz w:val="20"/>
                <w:szCs w:val="20"/>
                <w:lang w:val="en-US"/>
              </w:rPr>
              <w:t>What happens if network user fails to do so or the documents do not match the requirements set out in the new rules?</w:t>
            </w:r>
          </w:p>
        </w:tc>
        <w:tc>
          <w:tcPr>
            <w:tcW w:w="6343" w:type="dxa"/>
          </w:tcPr>
          <w:p w14:paraId="6FC6017F" w14:textId="77777777" w:rsidR="00542633" w:rsidRDefault="00542633" w:rsidP="00827BED">
            <w:pPr>
              <w:contextualSpacing/>
              <w:jc w:val="both"/>
              <w:rPr>
                <w:sz w:val="20"/>
                <w:szCs w:val="20"/>
                <w:lang w:val="en-US"/>
              </w:rPr>
            </w:pPr>
            <w:r>
              <w:rPr>
                <w:sz w:val="20"/>
                <w:szCs w:val="20"/>
                <w:lang w:val="en-US"/>
              </w:rPr>
              <w:t>The existing a</w:t>
            </w:r>
            <w:r w:rsidRPr="00EF5298">
              <w:rPr>
                <w:sz w:val="20"/>
                <w:szCs w:val="20"/>
                <w:lang w:val="en-US"/>
              </w:rPr>
              <w:t>greements can not be transferred</w:t>
            </w:r>
            <w:r>
              <w:rPr>
                <w:sz w:val="20"/>
                <w:szCs w:val="20"/>
                <w:lang w:val="en-US"/>
              </w:rPr>
              <w:t xml:space="preserve"> for the operation in the common balancing zone</w:t>
            </w:r>
            <w:r w:rsidRPr="00EF5298">
              <w:rPr>
                <w:sz w:val="20"/>
                <w:szCs w:val="20"/>
                <w:lang w:val="en-US"/>
              </w:rPr>
              <w:t xml:space="preserve">. From 2020 new rules will come into effect with </w:t>
            </w:r>
            <w:r>
              <w:rPr>
                <w:sz w:val="20"/>
                <w:szCs w:val="20"/>
                <w:lang w:val="en-US"/>
              </w:rPr>
              <w:t xml:space="preserve">completely </w:t>
            </w:r>
            <w:r w:rsidRPr="00EF5298">
              <w:rPr>
                <w:sz w:val="20"/>
                <w:szCs w:val="20"/>
                <w:lang w:val="en-US"/>
              </w:rPr>
              <w:t>different provisions, which means that in order to have network user rights network users must conclude new agreement</w:t>
            </w:r>
            <w:r>
              <w:rPr>
                <w:sz w:val="20"/>
                <w:szCs w:val="20"/>
                <w:lang w:val="en-US"/>
              </w:rPr>
              <w:t xml:space="preserve"> with the contracting TSO</w:t>
            </w:r>
            <w:r w:rsidRPr="00EF5298">
              <w:rPr>
                <w:sz w:val="20"/>
                <w:szCs w:val="20"/>
                <w:lang w:val="en-US"/>
              </w:rPr>
              <w:t>.</w:t>
            </w:r>
          </w:p>
          <w:p w14:paraId="67F542C8" w14:textId="77777777" w:rsidR="00542633" w:rsidRPr="00EF5298" w:rsidRDefault="00542633" w:rsidP="008C3FEB">
            <w:pPr>
              <w:contextualSpacing/>
              <w:jc w:val="both"/>
              <w:rPr>
                <w:sz w:val="20"/>
                <w:szCs w:val="20"/>
                <w:lang w:val="en-US"/>
              </w:rPr>
            </w:pPr>
          </w:p>
        </w:tc>
      </w:tr>
    </w:tbl>
    <w:p w14:paraId="060B9D3D" w14:textId="6C4C41A0" w:rsidR="00107D6F" w:rsidRPr="008B1593" w:rsidRDefault="00107D6F" w:rsidP="00DF7D57">
      <w:pPr>
        <w:tabs>
          <w:tab w:val="left" w:pos="6570"/>
        </w:tabs>
        <w:jc w:val="both"/>
        <w:rPr>
          <w:rFonts w:eastAsia="Times New Roman"/>
          <w:sz w:val="20"/>
          <w:szCs w:val="20"/>
          <w:lang w:val="en-US"/>
        </w:rPr>
      </w:pPr>
    </w:p>
    <w:sectPr w:rsidR="00107D6F" w:rsidRPr="008B1593" w:rsidSect="007E7DAF">
      <w:headerReference w:type="default" r:id="rId12"/>
      <w:footerReference w:type="default" r:id="rId13"/>
      <w:pgSz w:w="16838" w:h="11906" w:orient="landscape" w:code="9"/>
      <w:pgMar w:top="567" w:right="567" w:bottom="567" w:left="567"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D62D0" w14:textId="77777777" w:rsidR="009D3894" w:rsidRDefault="009D3894" w:rsidP="00026881">
      <w:r>
        <w:separator/>
      </w:r>
    </w:p>
  </w:endnote>
  <w:endnote w:type="continuationSeparator" w:id="0">
    <w:p w14:paraId="4AFCB001" w14:textId="77777777" w:rsidR="009D3894" w:rsidRDefault="009D3894" w:rsidP="0002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Helvetica">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3F267" w14:textId="77777777" w:rsidR="009D3894" w:rsidRPr="004E0902" w:rsidRDefault="009D3894" w:rsidP="004E0902">
    <w:pPr>
      <w:pStyle w:val="Footer"/>
      <w:tabs>
        <w:tab w:val="clear" w:pos="4819"/>
        <w:tab w:val="left" w:pos="3119"/>
      </w:tabs>
      <w:rPr>
        <w:rFonts w:ascii="Arial" w:hAnsi="Arial" w:cs="Arial"/>
        <w:b/>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56BCD" w14:textId="77777777" w:rsidR="009D3894" w:rsidRDefault="009D3894" w:rsidP="00026881">
      <w:r>
        <w:separator/>
      </w:r>
    </w:p>
  </w:footnote>
  <w:footnote w:type="continuationSeparator" w:id="0">
    <w:p w14:paraId="0B57A6EB" w14:textId="77777777" w:rsidR="009D3894" w:rsidRDefault="009D3894" w:rsidP="00026881">
      <w:r>
        <w:continuationSeparator/>
      </w:r>
    </w:p>
  </w:footnote>
  <w:footnote w:id="1">
    <w:p w14:paraId="535E0BA6" w14:textId="77777777" w:rsidR="009D3894" w:rsidRPr="00DC6A66" w:rsidRDefault="009D3894" w:rsidP="00DC6A66">
      <w:pPr>
        <w:pStyle w:val="Normal1"/>
        <w:jc w:val="both"/>
        <w:rPr>
          <w:sz w:val="20"/>
          <w:szCs w:val="20"/>
          <w:lang w:val="en-US"/>
        </w:rPr>
      </w:pPr>
      <w:r>
        <w:rPr>
          <w:rStyle w:val="FootnoteReference"/>
        </w:rPr>
        <w:footnoteRef/>
      </w:r>
      <w:r>
        <w:t xml:space="preserve"> </w:t>
      </w:r>
      <w:hyperlink r:id="rId1" w:history="1">
        <w:r w:rsidRPr="00212517">
          <w:rPr>
            <w:rStyle w:val="Hyperlink"/>
            <w:sz w:val="20"/>
            <w:szCs w:val="20"/>
            <w:lang w:val="en-US"/>
          </w:rPr>
          <w:t>https://www.entsog.eu/energy-identification-codes-eic</w:t>
        </w:r>
      </w:hyperlink>
      <w:r w:rsidRPr="00212517">
        <w:rPr>
          <w:sz w:val="20"/>
          <w:szCs w:val="20"/>
          <w:lang w:val="en-US"/>
        </w:rPr>
        <w:t xml:space="preserve"> </w:t>
      </w:r>
    </w:p>
  </w:footnote>
  <w:footnote w:id="2">
    <w:p w14:paraId="59F1C80E" w14:textId="77777777" w:rsidR="009D3894" w:rsidRPr="004C59C9" w:rsidRDefault="009D3894" w:rsidP="004C59C9">
      <w:pPr>
        <w:pStyle w:val="CommentText"/>
        <w:jc w:val="both"/>
        <w:rPr>
          <w:lang w:val="en-US"/>
        </w:rPr>
      </w:pPr>
      <w:r>
        <w:rPr>
          <w:rStyle w:val="FootnoteReference"/>
        </w:rPr>
        <w:footnoteRef/>
      </w:r>
      <w:r>
        <w:t xml:space="preserve"> </w:t>
      </w:r>
      <w:hyperlink r:id="rId2" w:history="1">
        <w:r w:rsidRPr="00212517">
          <w:rPr>
            <w:rStyle w:val="Hyperlink"/>
            <w:lang w:val="en-US"/>
          </w:rPr>
          <w:t>https://eur-lex.europa.eu/legal-content/EN/TXT/?uri=CELEX:02009R0715-20150525</w:t>
        </w:r>
      </w:hyperlink>
      <w:r w:rsidRPr="00212517">
        <w:rPr>
          <w:lang w:val="en-US"/>
        </w:rPr>
        <w:t xml:space="preserve"> </w:t>
      </w:r>
    </w:p>
  </w:footnote>
  <w:footnote w:id="3">
    <w:p w14:paraId="2B949861" w14:textId="77777777" w:rsidR="009D3894" w:rsidRPr="00320C41" w:rsidRDefault="009D3894">
      <w:pPr>
        <w:pStyle w:val="FootnoteText"/>
        <w:rPr>
          <w:lang w:val="en-US"/>
        </w:rPr>
      </w:pPr>
      <w:r>
        <w:rPr>
          <w:rStyle w:val="FootnoteReference"/>
        </w:rPr>
        <w:footnoteRef/>
      </w:r>
      <w:r>
        <w:t xml:space="preserve"> </w:t>
      </w:r>
      <w:hyperlink r:id="rId3" w:history="1">
        <w:r w:rsidRPr="00297900">
          <w:rPr>
            <w:rStyle w:val="Hyperlink"/>
          </w:rPr>
          <w:t>https://www.ambergrid.lt/en/transportation-services/transmissionnetworkcode</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500526"/>
      <w:docPartObj>
        <w:docPartGallery w:val="Page Numbers (Top of Page)"/>
        <w:docPartUnique/>
      </w:docPartObj>
    </w:sdtPr>
    <w:sdtEndPr/>
    <w:sdtContent>
      <w:p w14:paraId="6D7D440B" w14:textId="5B4BBE26" w:rsidR="009D3894" w:rsidRPr="00BB2461" w:rsidRDefault="009D3894">
        <w:pPr>
          <w:pStyle w:val="Header"/>
          <w:jc w:val="center"/>
        </w:pPr>
        <w:r w:rsidRPr="00BB2461">
          <w:fldChar w:fldCharType="begin"/>
        </w:r>
        <w:r w:rsidRPr="00BB2461">
          <w:instrText>PAGE   \* MERGEFORMAT</w:instrText>
        </w:r>
        <w:r w:rsidRPr="00BB2461">
          <w:fldChar w:fldCharType="separate"/>
        </w:r>
        <w:r w:rsidR="00AA6058">
          <w:rPr>
            <w:noProof/>
          </w:rPr>
          <w:t>3</w:t>
        </w:r>
        <w:r w:rsidRPr="00BB2461">
          <w:fldChar w:fldCharType="end"/>
        </w:r>
      </w:p>
    </w:sdtContent>
  </w:sdt>
  <w:p w14:paraId="79A83DAF" w14:textId="77777777" w:rsidR="009D3894" w:rsidRPr="00BB2461" w:rsidRDefault="009D3894" w:rsidP="00F95B51">
    <w:pPr>
      <w:pStyle w:val="Header"/>
      <w:tabs>
        <w:tab w:val="clear" w:pos="9638"/>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4pt;height:27pt;visibility:visible;mso-wrap-style:square" o:bullet="t">
        <v:imagedata r:id="rId1" o:title=""/>
      </v:shape>
    </w:pict>
  </w:numPicBullet>
  <w:abstractNum w:abstractNumId="0" w15:restartNumberingAfterBreak="0">
    <w:nsid w:val="010F5ABC"/>
    <w:multiLevelType w:val="multilevel"/>
    <w:tmpl w:val="18D4C1E6"/>
    <w:lvl w:ilvl="0">
      <w:start w:val="1"/>
      <w:numFmt w:val="decimal"/>
      <w:suff w:val="space"/>
      <w:lvlText w:val="%1."/>
      <w:lvlJc w:val="left"/>
      <w:pPr>
        <w:ind w:left="1353" w:hanging="360"/>
      </w:pPr>
      <w:rPr>
        <w:rFonts w:hint="default"/>
        <w:b w:val="0"/>
      </w:rPr>
    </w:lvl>
    <w:lvl w:ilvl="1">
      <w:start w:val="1"/>
      <w:numFmt w:val="decimal"/>
      <w:suff w:val="space"/>
      <w:lvlText w:val="%1.%2."/>
      <w:lvlJc w:val="left"/>
      <w:pPr>
        <w:ind w:left="792" w:hanging="432"/>
      </w:pPr>
      <w:rPr>
        <w:rFonts w:hint="default"/>
        <w:b w:val="0"/>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783201"/>
    <w:multiLevelType w:val="hybridMultilevel"/>
    <w:tmpl w:val="DB9C98E8"/>
    <w:lvl w:ilvl="0" w:tplc="04270001">
      <w:start w:val="1"/>
      <w:numFmt w:val="bullet"/>
      <w:lvlText w:val=""/>
      <w:lvlJc w:val="left"/>
      <w:pPr>
        <w:ind w:left="1350" w:hanging="360"/>
      </w:pPr>
      <w:rPr>
        <w:rFonts w:ascii="Symbol" w:hAnsi="Symbol" w:hint="default"/>
      </w:rPr>
    </w:lvl>
    <w:lvl w:ilvl="1" w:tplc="04270003" w:tentative="1">
      <w:start w:val="1"/>
      <w:numFmt w:val="bullet"/>
      <w:lvlText w:val="o"/>
      <w:lvlJc w:val="left"/>
      <w:pPr>
        <w:ind w:left="2070" w:hanging="360"/>
      </w:pPr>
      <w:rPr>
        <w:rFonts w:ascii="Courier New" w:hAnsi="Courier New" w:cs="Courier New" w:hint="default"/>
      </w:rPr>
    </w:lvl>
    <w:lvl w:ilvl="2" w:tplc="04270005" w:tentative="1">
      <w:start w:val="1"/>
      <w:numFmt w:val="bullet"/>
      <w:lvlText w:val=""/>
      <w:lvlJc w:val="left"/>
      <w:pPr>
        <w:ind w:left="2790" w:hanging="360"/>
      </w:pPr>
      <w:rPr>
        <w:rFonts w:ascii="Wingdings" w:hAnsi="Wingdings" w:hint="default"/>
      </w:rPr>
    </w:lvl>
    <w:lvl w:ilvl="3" w:tplc="04270001" w:tentative="1">
      <w:start w:val="1"/>
      <w:numFmt w:val="bullet"/>
      <w:lvlText w:val=""/>
      <w:lvlJc w:val="left"/>
      <w:pPr>
        <w:ind w:left="3510" w:hanging="360"/>
      </w:pPr>
      <w:rPr>
        <w:rFonts w:ascii="Symbol" w:hAnsi="Symbol" w:hint="default"/>
      </w:rPr>
    </w:lvl>
    <w:lvl w:ilvl="4" w:tplc="04270003" w:tentative="1">
      <w:start w:val="1"/>
      <w:numFmt w:val="bullet"/>
      <w:lvlText w:val="o"/>
      <w:lvlJc w:val="left"/>
      <w:pPr>
        <w:ind w:left="4230" w:hanging="360"/>
      </w:pPr>
      <w:rPr>
        <w:rFonts w:ascii="Courier New" w:hAnsi="Courier New" w:cs="Courier New" w:hint="default"/>
      </w:rPr>
    </w:lvl>
    <w:lvl w:ilvl="5" w:tplc="04270005" w:tentative="1">
      <w:start w:val="1"/>
      <w:numFmt w:val="bullet"/>
      <w:lvlText w:val=""/>
      <w:lvlJc w:val="left"/>
      <w:pPr>
        <w:ind w:left="4950" w:hanging="360"/>
      </w:pPr>
      <w:rPr>
        <w:rFonts w:ascii="Wingdings" w:hAnsi="Wingdings" w:hint="default"/>
      </w:rPr>
    </w:lvl>
    <w:lvl w:ilvl="6" w:tplc="04270001" w:tentative="1">
      <w:start w:val="1"/>
      <w:numFmt w:val="bullet"/>
      <w:lvlText w:val=""/>
      <w:lvlJc w:val="left"/>
      <w:pPr>
        <w:ind w:left="5670" w:hanging="360"/>
      </w:pPr>
      <w:rPr>
        <w:rFonts w:ascii="Symbol" w:hAnsi="Symbol" w:hint="default"/>
      </w:rPr>
    </w:lvl>
    <w:lvl w:ilvl="7" w:tplc="04270003" w:tentative="1">
      <w:start w:val="1"/>
      <w:numFmt w:val="bullet"/>
      <w:lvlText w:val="o"/>
      <w:lvlJc w:val="left"/>
      <w:pPr>
        <w:ind w:left="6390" w:hanging="360"/>
      </w:pPr>
      <w:rPr>
        <w:rFonts w:ascii="Courier New" w:hAnsi="Courier New" w:cs="Courier New" w:hint="default"/>
      </w:rPr>
    </w:lvl>
    <w:lvl w:ilvl="8" w:tplc="04270005" w:tentative="1">
      <w:start w:val="1"/>
      <w:numFmt w:val="bullet"/>
      <w:lvlText w:val=""/>
      <w:lvlJc w:val="left"/>
      <w:pPr>
        <w:ind w:left="7110" w:hanging="360"/>
      </w:pPr>
      <w:rPr>
        <w:rFonts w:ascii="Wingdings" w:hAnsi="Wingdings" w:hint="default"/>
      </w:rPr>
    </w:lvl>
  </w:abstractNum>
  <w:abstractNum w:abstractNumId="2" w15:restartNumberingAfterBreak="0">
    <w:nsid w:val="03EE7FAD"/>
    <w:multiLevelType w:val="hybridMultilevel"/>
    <w:tmpl w:val="AB2E75D2"/>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3" w15:restartNumberingAfterBreak="0">
    <w:nsid w:val="05E258BC"/>
    <w:multiLevelType w:val="hybridMultilevel"/>
    <w:tmpl w:val="9D6CC1C0"/>
    <w:lvl w:ilvl="0" w:tplc="6FD83D56">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DB16AE6"/>
    <w:multiLevelType w:val="hybridMultilevel"/>
    <w:tmpl w:val="0382D620"/>
    <w:lvl w:ilvl="0" w:tplc="D0AAC6F4">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E8F4959"/>
    <w:multiLevelType w:val="hybridMultilevel"/>
    <w:tmpl w:val="B9C69332"/>
    <w:lvl w:ilvl="0" w:tplc="E0748548">
      <w:start w:val="1"/>
      <w:numFmt w:val="decimal"/>
      <w:lvlText w:val="%1."/>
      <w:lvlJc w:val="left"/>
      <w:pPr>
        <w:ind w:left="644" w:hanging="360"/>
      </w:pPr>
      <w:rPr>
        <w:rFonts w:hint="default"/>
      </w:rPr>
    </w:lvl>
    <w:lvl w:ilvl="1" w:tplc="04270019" w:tentative="1">
      <w:start w:val="1"/>
      <w:numFmt w:val="lowerLetter"/>
      <w:lvlText w:val="%2."/>
      <w:lvlJc w:val="left"/>
      <w:pPr>
        <w:ind w:left="1111" w:hanging="360"/>
      </w:pPr>
    </w:lvl>
    <w:lvl w:ilvl="2" w:tplc="0427001B" w:tentative="1">
      <w:start w:val="1"/>
      <w:numFmt w:val="lowerRoman"/>
      <w:lvlText w:val="%3."/>
      <w:lvlJc w:val="right"/>
      <w:pPr>
        <w:ind w:left="1831" w:hanging="180"/>
      </w:pPr>
    </w:lvl>
    <w:lvl w:ilvl="3" w:tplc="0427000F" w:tentative="1">
      <w:start w:val="1"/>
      <w:numFmt w:val="decimal"/>
      <w:lvlText w:val="%4."/>
      <w:lvlJc w:val="left"/>
      <w:pPr>
        <w:ind w:left="2551" w:hanging="360"/>
      </w:pPr>
    </w:lvl>
    <w:lvl w:ilvl="4" w:tplc="04270019" w:tentative="1">
      <w:start w:val="1"/>
      <w:numFmt w:val="lowerLetter"/>
      <w:lvlText w:val="%5."/>
      <w:lvlJc w:val="left"/>
      <w:pPr>
        <w:ind w:left="3271" w:hanging="360"/>
      </w:pPr>
    </w:lvl>
    <w:lvl w:ilvl="5" w:tplc="0427001B" w:tentative="1">
      <w:start w:val="1"/>
      <w:numFmt w:val="lowerRoman"/>
      <w:lvlText w:val="%6."/>
      <w:lvlJc w:val="right"/>
      <w:pPr>
        <w:ind w:left="3991" w:hanging="180"/>
      </w:pPr>
    </w:lvl>
    <w:lvl w:ilvl="6" w:tplc="0427000F" w:tentative="1">
      <w:start w:val="1"/>
      <w:numFmt w:val="decimal"/>
      <w:lvlText w:val="%7."/>
      <w:lvlJc w:val="left"/>
      <w:pPr>
        <w:ind w:left="4711" w:hanging="360"/>
      </w:pPr>
    </w:lvl>
    <w:lvl w:ilvl="7" w:tplc="04270019" w:tentative="1">
      <w:start w:val="1"/>
      <w:numFmt w:val="lowerLetter"/>
      <w:lvlText w:val="%8."/>
      <w:lvlJc w:val="left"/>
      <w:pPr>
        <w:ind w:left="5431" w:hanging="360"/>
      </w:pPr>
    </w:lvl>
    <w:lvl w:ilvl="8" w:tplc="0427001B" w:tentative="1">
      <w:start w:val="1"/>
      <w:numFmt w:val="lowerRoman"/>
      <w:lvlText w:val="%9."/>
      <w:lvlJc w:val="right"/>
      <w:pPr>
        <w:ind w:left="6151" w:hanging="180"/>
      </w:pPr>
    </w:lvl>
  </w:abstractNum>
  <w:abstractNum w:abstractNumId="6" w15:restartNumberingAfterBreak="0">
    <w:nsid w:val="11F05465"/>
    <w:multiLevelType w:val="hybridMultilevel"/>
    <w:tmpl w:val="DE3416B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42A3598"/>
    <w:multiLevelType w:val="multilevel"/>
    <w:tmpl w:val="943648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286"/>
        </w:tabs>
        <w:ind w:left="128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28F7848"/>
    <w:multiLevelType w:val="hybridMultilevel"/>
    <w:tmpl w:val="8D36CC10"/>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57113BE"/>
    <w:multiLevelType w:val="hybridMultilevel"/>
    <w:tmpl w:val="A77E20B4"/>
    <w:lvl w:ilvl="0" w:tplc="4848884E">
      <w:start w:val="1"/>
      <w:numFmt w:val="decimal"/>
      <w:lvlText w:val="%1."/>
      <w:lvlJc w:val="left"/>
      <w:pPr>
        <w:ind w:left="391" w:hanging="360"/>
      </w:pPr>
      <w:rPr>
        <w:rFonts w:hint="default"/>
      </w:rPr>
    </w:lvl>
    <w:lvl w:ilvl="1" w:tplc="04270019" w:tentative="1">
      <w:start w:val="1"/>
      <w:numFmt w:val="lowerLetter"/>
      <w:lvlText w:val="%2."/>
      <w:lvlJc w:val="left"/>
      <w:pPr>
        <w:ind w:left="1111" w:hanging="360"/>
      </w:pPr>
    </w:lvl>
    <w:lvl w:ilvl="2" w:tplc="0427001B" w:tentative="1">
      <w:start w:val="1"/>
      <w:numFmt w:val="lowerRoman"/>
      <w:lvlText w:val="%3."/>
      <w:lvlJc w:val="right"/>
      <w:pPr>
        <w:ind w:left="1831" w:hanging="180"/>
      </w:pPr>
    </w:lvl>
    <w:lvl w:ilvl="3" w:tplc="0427000F" w:tentative="1">
      <w:start w:val="1"/>
      <w:numFmt w:val="decimal"/>
      <w:lvlText w:val="%4."/>
      <w:lvlJc w:val="left"/>
      <w:pPr>
        <w:ind w:left="2551" w:hanging="360"/>
      </w:pPr>
    </w:lvl>
    <w:lvl w:ilvl="4" w:tplc="04270019" w:tentative="1">
      <w:start w:val="1"/>
      <w:numFmt w:val="lowerLetter"/>
      <w:lvlText w:val="%5."/>
      <w:lvlJc w:val="left"/>
      <w:pPr>
        <w:ind w:left="3271" w:hanging="360"/>
      </w:pPr>
    </w:lvl>
    <w:lvl w:ilvl="5" w:tplc="0427001B" w:tentative="1">
      <w:start w:val="1"/>
      <w:numFmt w:val="lowerRoman"/>
      <w:lvlText w:val="%6."/>
      <w:lvlJc w:val="right"/>
      <w:pPr>
        <w:ind w:left="3991" w:hanging="180"/>
      </w:pPr>
    </w:lvl>
    <w:lvl w:ilvl="6" w:tplc="0427000F" w:tentative="1">
      <w:start w:val="1"/>
      <w:numFmt w:val="decimal"/>
      <w:lvlText w:val="%7."/>
      <w:lvlJc w:val="left"/>
      <w:pPr>
        <w:ind w:left="4711" w:hanging="360"/>
      </w:pPr>
    </w:lvl>
    <w:lvl w:ilvl="7" w:tplc="04270019" w:tentative="1">
      <w:start w:val="1"/>
      <w:numFmt w:val="lowerLetter"/>
      <w:lvlText w:val="%8."/>
      <w:lvlJc w:val="left"/>
      <w:pPr>
        <w:ind w:left="5431" w:hanging="360"/>
      </w:pPr>
    </w:lvl>
    <w:lvl w:ilvl="8" w:tplc="0427001B" w:tentative="1">
      <w:start w:val="1"/>
      <w:numFmt w:val="lowerRoman"/>
      <w:lvlText w:val="%9."/>
      <w:lvlJc w:val="right"/>
      <w:pPr>
        <w:ind w:left="6151" w:hanging="180"/>
      </w:pPr>
    </w:lvl>
  </w:abstractNum>
  <w:abstractNum w:abstractNumId="10" w15:restartNumberingAfterBreak="0">
    <w:nsid w:val="262C2005"/>
    <w:multiLevelType w:val="hybridMultilevel"/>
    <w:tmpl w:val="24CC1D9C"/>
    <w:lvl w:ilvl="0" w:tplc="FF6A5270">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1" w15:restartNumberingAfterBreak="0">
    <w:nsid w:val="27A65692"/>
    <w:multiLevelType w:val="hybridMultilevel"/>
    <w:tmpl w:val="E98E7EB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2" w15:restartNumberingAfterBreak="0">
    <w:nsid w:val="2A7F121B"/>
    <w:multiLevelType w:val="hybridMultilevel"/>
    <w:tmpl w:val="A96C1954"/>
    <w:lvl w:ilvl="0" w:tplc="04270001">
      <w:start w:val="1"/>
      <w:numFmt w:val="bullet"/>
      <w:lvlText w:val=""/>
      <w:lvlJc w:val="left"/>
      <w:pPr>
        <w:ind w:left="751" w:hanging="360"/>
      </w:pPr>
      <w:rPr>
        <w:rFonts w:ascii="Symbol" w:hAnsi="Symbol" w:hint="default"/>
      </w:rPr>
    </w:lvl>
    <w:lvl w:ilvl="1" w:tplc="04270003" w:tentative="1">
      <w:start w:val="1"/>
      <w:numFmt w:val="bullet"/>
      <w:lvlText w:val="o"/>
      <w:lvlJc w:val="left"/>
      <w:pPr>
        <w:ind w:left="1471" w:hanging="360"/>
      </w:pPr>
      <w:rPr>
        <w:rFonts w:ascii="Courier New" w:hAnsi="Courier New" w:cs="Courier New" w:hint="default"/>
      </w:rPr>
    </w:lvl>
    <w:lvl w:ilvl="2" w:tplc="04270005" w:tentative="1">
      <w:start w:val="1"/>
      <w:numFmt w:val="bullet"/>
      <w:lvlText w:val=""/>
      <w:lvlJc w:val="left"/>
      <w:pPr>
        <w:ind w:left="2191" w:hanging="360"/>
      </w:pPr>
      <w:rPr>
        <w:rFonts w:ascii="Wingdings" w:hAnsi="Wingdings" w:hint="default"/>
      </w:rPr>
    </w:lvl>
    <w:lvl w:ilvl="3" w:tplc="04270001" w:tentative="1">
      <w:start w:val="1"/>
      <w:numFmt w:val="bullet"/>
      <w:lvlText w:val=""/>
      <w:lvlJc w:val="left"/>
      <w:pPr>
        <w:ind w:left="2911" w:hanging="360"/>
      </w:pPr>
      <w:rPr>
        <w:rFonts w:ascii="Symbol" w:hAnsi="Symbol" w:hint="default"/>
      </w:rPr>
    </w:lvl>
    <w:lvl w:ilvl="4" w:tplc="04270003" w:tentative="1">
      <w:start w:val="1"/>
      <w:numFmt w:val="bullet"/>
      <w:lvlText w:val="o"/>
      <w:lvlJc w:val="left"/>
      <w:pPr>
        <w:ind w:left="3631" w:hanging="360"/>
      </w:pPr>
      <w:rPr>
        <w:rFonts w:ascii="Courier New" w:hAnsi="Courier New" w:cs="Courier New" w:hint="default"/>
      </w:rPr>
    </w:lvl>
    <w:lvl w:ilvl="5" w:tplc="04270005" w:tentative="1">
      <w:start w:val="1"/>
      <w:numFmt w:val="bullet"/>
      <w:lvlText w:val=""/>
      <w:lvlJc w:val="left"/>
      <w:pPr>
        <w:ind w:left="4351" w:hanging="360"/>
      </w:pPr>
      <w:rPr>
        <w:rFonts w:ascii="Wingdings" w:hAnsi="Wingdings" w:hint="default"/>
      </w:rPr>
    </w:lvl>
    <w:lvl w:ilvl="6" w:tplc="04270001" w:tentative="1">
      <w:start w:val="1"/>
      <w:numFmt w:val="bullet"/>
      <w:lvlText w:val=""/>
      <w:lvlJc w:val="left"/>
      <w:pPr>
        <w:ind w:left="5071" w:hanging="360"/>
      </w:pPr>
      <w:rPr>
        <w:rFonts w:ascii="Symbol" w:hAnsi="Symbol" w:hint="default"/>
      </w:rPr>
    </w:lvl>
    <w:lvl w:ilvl="7" w:tplc="04270003" w:tentative="1">
      <w:start w:val="1"/>
      <w:numFmt w:val="bullet"/>
      <w:lvlText w:val="o"/>
      <w:lvlJc w:val="left"/>
      <w:pPr>
        <w:ind w:left="5791" w:hanging="360"/>
      </w:pPr>
      <w:rPr>
        <w:rFonts w:ascii="Courier New" w:hAnsi="Courier New" w:cs="Courier New" w:hint="default"/>
      </w:rPr>
    </w:lvl>
    <w:lvl w:ilvl="8" w:tplc="04270005" w:tentative="1">
      <w:start w:val="1"/>
      <w:numFmt w:val="bullet"/>
      <w:lvlText w:val=""/>
      <w:lvlJc w:val="left"/>
      <w:pPr>
        <w:ind w:left="6511" w:hanging="360"/>
      </w:pPr>
      <w:rPr>
        <w:rFonts w:ascii="Wingdings" w:hAnsi="Wingdings" w:hint="default"/>
      </w:rPr>
    </w:lvl>
  </w:abstractNum>
  <w:abstractNum w:abstractNumId="13" w15:restartNumberingAfterBreak="0">
    <w:nsid w:val="303D63AE"/>
    <w:multiLevelType w:val="hybridMultilevel"/>
    <w:tmpl w:val="5A64094A"/>
    <w:lvl w:ilvl="0" w:tplc="04090011">
      <w:start w:val="1"/>
      <w:numFmt w:val="decimal"/>
      <w:lvlText w:val="%1)"/>
      <w:lvlJc w:val="left"/>
      <w:pPr>
        <w:ind w:left="751" w:hanging="360"/>
      </w:p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14" w15:restartNumberingAfterBreak="0">
    <w:nsid w:val="31FD69DD"/>
    <w:multiLevelType w:val="hybridMultilevel"/>
    <w:tmpl w:val="FFF0379A"/>
    <w:lvl w:ilvl="0" w:tplc="04F8FA0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34403E3F"/>
    <w:multiLevelType w:val="hybridMultilevel"/>
    <w:tmpl w:val="B5F62046"/>
    <w:lvl w:ilvl="0" w:tplc="0908CA9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39095224"/>
    <w:multiLevelType w:val="hybridMultilevel"/>
    <w:tmpl w:val="ECFAC634"/>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7" w15:restartNumberingAfterBreak="0">
    <w:nsid w:val="3BF72805"/>
    <w:multiLevelType w:val="hybridMultilevel"/>
    <w:tmpl w:val="DF9E64B2"/>
    <w:lvl w:ilvl="0" w:tplc="0409000F">
      <w:start w:val="1"/>
      <w:numFmt w:val="decimal"/>
      <w:lvlText w:val="%1."/>
      <w:lvlJc w:val="left"/>
      <w:pPr>
        <w:ind w:left="121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297464"/>
    <w:multiLevelType w:val="hybridMultilevel"/>
    <w:tmpl w:val="03BA4136"/>
    <w:lvl w:ilvl="0" w:tplc="6FD83D56">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1C30C00"/>
    <w:multiLevelType w:val="hybridMultilevel"/>
    <w:tmpl w:val="637E6CEE"/>
    <w:lvl w:ilvl="0" w:tplc="BA3C0C20">
      <w:start w:val="2"/>
      <w:numFmt w:val="bullet"/>
      <w:lvlText w:val="-"/>
      <w:lvlJc w:val="left"/>
      <w:pPr>
        <w:ind w:left="720" w:hanging="360"/>
      </w:pPr>
      <w:rPr>
        <w:rFonts w:ascii="Times New Roman" w:eastAsia="Arial Unicode MS"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B7F7E9C"/>
    <w:multiLevelType w:val="hybridMultilevel"/>
    <w:tmpl w:val="E98EB084"/>
    <w:lvl w:ilvl="0" w:tplc="6FD83D56">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4C743717"/>
    <w:multiLevelType w:val="multilevel"/>
    <w:tmpl w:val="DEE211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55F02FB3"/>
    <w:multiLevelType w:val="hybridMultilevel"/>
    <w:tmpl w:val="6FC67E6E"/>
    <w:lvl w:ilvl="0" w:tplc="56EE7C58">
      <w:start w:val="1"/>
      <w:numFmt w:val="decimal"/>
      <w:lvlText w:val="%1."/>
      <w:lvlJc w:val="left"/>
      <w:pPr>
        <w:ind w:left="502"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6622EE"/>
    <w:multiLevelType w:val="hybridMultilevel"/>
    <w:tmpl w:val="6010D2E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63A461B0"/>
    <w:multiLevelType w:val="hybridMultilevel"/>
    <w:tmpl w:val="D9DC5D64"/>
    <w:lvl w:ilvl="0" w:tplc="04270011">
      <w:start w:val="1"/>
      <w:numFmt w:val="decimal"/>
      <w:lvlText w:val="%1)"/>
      <w:lvlJc w:val="left"/>
      <w:pPr>
        <w:ind w:left="770" w:hanging="360"/>
      </w:pPr>
    </w:lvl>
    <w:lvl w:ilvl="1" w:tplc="04270019" w:tentative="1">
      <w:start w:val="1"/>
      <w:numFmt w:val="lowerLetter"/>
      <w:lvlText w:val="%2."/>
      <w:lvlJc w:val="left"/>
      <w:pPr>
        <w:ind w:left="1490" w:hanging="360"/>
      </w:pPr>
    </w:lvl>
    <w:lvl w:ilvl="2" w:tplc="0427001B" w:tentative="1">
      <w:start w:val="1"/>
      <w:numFmt w:val="lowerRoman"/>
      <w:lvlText w:val="%3."/>
      <w:lvlJc w:val="right"/>
      <w:pPr>
        <w:ind w:left="2210" w:hanging="180"/>
      </w:pPr>
    </w:lvl>
    <w:lvl w:ilvl="3" w:tplc="0427000F" w:tentative="1">
      <w:start w:val="1"/>
      <w:numFmt w:val="decimal"/>
      <w:lvlText w:val="%4."/>
      <w:lvlJc w:val="left"/>
      <w:pPr>
        <w:ind w:left="2930" w:hanging="360"/>
      </w:pPr>
    </w:lvl>
    <w:lvl w:ilvl="4" w:tplc="04270019" w:tentative="1">
      <w:start w:val="1"/>
      <w:numFmt w:val="lowerLetter"/>
      <w:lvlText w:val="%5."/>
      <w:lvlJc w:val="left"/>
      <w:pPr>
        <w:ind w:left="3650" w:hanging="360"/>
      </w:pPr>
    </w:lvl>
    <w:lvl w:ilvl="5" w:tplc="0427001B" w:tentative="1">
      <w:start w:val="1"/>
      <w:numFmt w:val="lowerRoman"/>
      <w:lvlText w:val="%6."/>
      <w:lvlJc w:val="right"/>
      <w:pPr>
        <w:ind w:left="4370" w:hanging="180"/>
      </w:pPr>
    </w:lvl>
    <w:lvl w:ilvl="6" w:tplc="0427000F" w:tentative="1">
      <w:start w:val="1"/>
      <w:numFmt w:val="decimal"/>
      <w:lvlText w:val="%7."/>
      <w:lvlJc w:val="left"/>
      <w:pPr>
        <w:ind w:left="5090" w:hanging="360"/>
      </w:pPr>
    </w:lvl>
    <w:lvl w:ilvl="7" w:tplc="04270019" w:tentative="1">
      <w:start w:val="1"/>
      <w:numFmt w:val="lowerLetter"/>
      <w:lvlText w:val="%8."/>
      <w:lvlJc w:val="left"/>
      <w:pPr>
        <w:ind w:left="5810" w:hanging="360"/>
      </w:pPr>
    </w:lvl>
    <w:lvl w:ilvl="8" w:tplc="0427001B" w:tentative="1">
      <w:start w:val="1"/>
      <w:numFmt w:val="lowerRoman"/>
      <w:lvlText w:val="%9."/>
      <w:lvlJc w:val="right"/>
      <w:pPr>
        <w:ind w:left="6530" w:hanging="180"/>
      </w:pPr>
    </w:lvl>
  </w:abstractNum>
  <w:abstractNum w:abstractNumId="25" w15:restartNumberingAfterBreak="0">
    <w:nsid w:val="6491575F"/>
    <w:multiLevelType w:val="hybridMultilevel"/>
    <w:tmpl w:val="61E85806"/>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67242FF5"/>
    <w:multiLevelType w:val="hybridMultilevel"/>
    <w:tmpl w:val="10DC0FF6"/>
    <w:lvl w:ilvl="0" w:tplc="04270001">
      <w:start w:val="1"/>
      <w:numFmt w:val="bullet"/>
      <w:lvlText w:val=""/>
      <w:lvlJc w:val="left"/>
      <w:pPr>
        <w:ind w:left="1350" w:hanging="360"/>
      </w:pPr>
      <w:rPr>
        <w:rFonts w:ascii="Symbol" w:hAnsi="Symbol" w:hint="default"/>
      </w:rPr>
    </w:lvl>
    <w:lvl w:ilvl="1" w:tplc="04270003" w:tentative="1">
      <w:start w:val="1"/>
      <w:numFmt w:val="bullet"/>
      <w:lvlText w:val="o"/>
      <w:lvlJc w:val="left"/>
      <w:pPr>
        <w:ind w:left="2070" w:hanging="360"/>
      </w:pPr>
      <w:rPr>
        <w:rFonts w:ascii="Courier New" w:hAnsi="Courier New" w:cs="Courier New" w:hint="default"/>
      </w:rPr>
    </w:lvl>
    <w:lvl w:ilvl="2" w:tplc="04270005" w:tentative="1">
      <w:start w:val="1"/>
      <w:numFmt w:val="bullet"/>
      <w:lvlText w:val=""/>
      <w:lvlJc w:val="left"/>
      <w:pPr>
        <w:ind w:left="2790" w:hanging="360"/>
      </w:pPr>
      <w:rPr>
        <w:rFonts w:ascii="Wingdings" w:hAnsi="Wingdings" w:hint="default"/>
      </w:rPr>
    </w:lvl>
    <w:lvl w:ilvl="3" w:tplc="04270001" w:tentative="1">
      <w:start w:val="1"/>
      <w:numFmt w:val="bullet"/>
      <w:lvlText w:val=""/>
      <w:lvlJc w:val="left"/>
      <w:pPr>
        <w:ind w:left="3510" w:hanging="360"/>
      </w:pPr>
      <w:rPr>
        <w:rFonts w:ascii="Symbol" w:hAnsi="Symbol" w:hint="default"/>
      </w:rPr>
    </w:lvl>
    <w:lvl w:ilvl="4" w:tplc="04270003" w:tentative="1">
      <w:start w:val="1"/>
      <w:numFmt w:val="bullet"/>
      <w:lvlText w:val="o"/>
      <w:lvlJc w:val="left"/>
      <w:pPr>
        <w:ind w:left="4230" w:hanging="360"/>
      </w:pPr>
      <w:rPr>
        <w:rFonts w:ascii="Courier New" w:hAnsi="Courier New" w:cs="Courier New" w:hint="default"/>
      </w:rPr>
    </w:lvl>
    <w:lvl w:ilvl="5" w:tplc="04270005" w:tentative="1">
      <w:start w:val="1"/>
      <w:numFmt w:val="bullet"/>
      <w:lvlText w:val=""/>
      <w:lvlJc w:val="left"/>
      <w:pPr>
        <w:ind w:left="4950" w:hanging="360"/>
      </w:pPr>
      <w:rPr>
        <w:rFonts w:ascii="Wingdings" w:hAnsi="Wingdings" w:hint="default"/>
      </w:rPr>
    </w:lvl>
    <w:lvl w:ilvl="6" w:tplc="04270001" w:tentative="1">
      <w:start w:val="1"/>
      <w:numFmt w:val="bullet"/>
      <w:lvlText w:val=""/>
      <w:lvlJc w:val="left"/>
      <w:pPr>
        <w:ind w:left="5670" w:hanging="360"/>
      </w:pPr>
      <w:rPr>
        <w:rFonts w:ascii="Symbol" w:hAnsi="Symbol" w:hint="default"/>
      </w:rPr>
    </w:lvl>
    <w:lvl w:ilvl="7" w:tplc="04270003" w:tentative="1">
      <w:start w:val="1"/>
      <w:numFmt w:val="bullet"/>
      <w:lvlText w:val="o"/>
      <w:lvlJc w:val="left"/>
      <w:pPr>
        <w:ind w:left="6390" w:hanging="360"/>
      </w:pPr>
      <w:rPr>
        <w:rFonts w:ascii="Courier New" w:hAnsi="Courier New" w:cs="Courier New" w:hint="default"/>
      </w:rPr>
    </w:lvl>
    <w:lvl w:ilvl="8" w:tplc="04270005" w:tentative="1">
      <w:start w:val="1"/>
      <w:numFmt w:val="bullet"/>
      <w:lvlText w:val=""/>
      <w:lvlJc w:val="left"/>
      <w:pPr>
        <w:ind w:left="7110" w:hanging="360"/>
      </w:pPr>
      <w:rPr>
        <w:rFonts w:ascii="Wingdings" w:hAnsi="Wingdings" w:hint="default"/>
      </w:rPr>
    </w:lvl>
  </w:abstractNum>
  <w:abstractNum w:abstractNumId="27" w15:restartNumberingAfterBreak="0">
    <w:nsid w:val="676568F5"/>
    <w:multiLevelType w:val="hybridMultilevel"/>
    <w:tmpl w:val="7D2C982A"/>
    <w:lvl w:ilvl="0" w:tplc="15A254D2">
      <w:start w:val="2"/>
      <w:numFmt w:val="bullet"/>
      <w:lvlText w:val="-"/>
      <w:lvlJc w:val="left"/>
      <w:pPr>
        <w:ind w:left="391" w:hanging="360"/>
      </w:pPr>
      <w:rPr>
        <w:rFonts w:ascii="Arial" w:eastAsia="Times New Roman" w:hAnsi="Arial" w:cs="Arial" w:hint="default"/>
      </w:rPr>
    </w:lvl>
    <w:lvl w:ilvl="1" w:tplc="04270003" w:tentative="1">
      <w:start w:val="1"/>
      <w:numFmt w:val="bullet"/>
      <w:lvlText w:val="o"/>
      <w:lvlJc w:val="left"/>
      <w:pPr>
        <w:ind w:left="1111" w:hanging="360"/>
      </w:pPr>
      <w:rPr>
        <w:rFonts w:ascii="Courier New" w:hAnsi="Courier New" w:cs="Courier New" w:hint="default"/>
      </w:rPr>
    </w:lvl>
    <w:lvl w:ilvl="2" w:tplc="04270005" w:tentative="1">
      <w:start w:val="1"/>
      <w:numFmt w:val="bullet"/>
      <w:lvlText w:val=""/>
      <w:lvlJc w:val="left"/>
      <w:pPr>
        <w:ind w:left="1831" w:hanging="360"/>
      </w:pPr>
      <w:rPr>
        <w:rFonts w:ascii="Wingdings" w:hAnsi="Wingdings" w:hint="default"/>
      </w:rPr>
    </w:lvl>
    <w:lvl w:ilvl="3" w:tplc="04270001" w:tentative="1">
      <w:start w:val="1"/>
      <w:numFmt w:val="bullet"/>
      <w:lvlText w:val=""/>
      <w:lvlJc w:val="left"/>
      <w:pPr>
        <w:ind w:left="2551" w:hanging="360"/>
      </w:pPr>
      <w:rPr>
        <w:rFonts w:ascii="Symbol" w:hAnsi="Symbol" w:hint="default"/>
      </w:rPr>
    </w:lvl>
    <w:lvl w:ilvl="4" w:tplc="04270003" w:tentative="1">
      <w:start w:val="1"/>
      <w:numFmt w:val="bullet"/>
      <w:lvlText w:val="o"/>
      <w:lvlJc w:val="left"/>
      <w:pPr>
        <w:ind w:left="3271" w:hanging="360"/>
      </w:pPr>
      <w:rPr>
        <w:rFonts w:ascii="Courier New" w:hAnsi="Courier New" w:cs="Courier New" w:hint="default"/>
      </w:rPr>
    </w:lvl>
    <w:lvl w:ilvl="5" w:tplc="04270005" w:tentative="1">
      <w:start w:val="1"/>
      <w:numFmt w:val="bullet"/>
      <w:lvlText w:val=""/>
      <w:lvlJc w:val="left"/>
      <w:pPr>
        <w:ind w:left="3991" w:hanging="360"/>
      </w:pPr>
      <w:rPr>
        <w:rFonts w:ascii="Wingdings" w:hAnsi="Wingdings" w:hint="default"/>
      </w:rPr>
    </w:lvl>
    <w:lvl w:ilvl="6" w:tplc="04270001" w:tentative="1">
      <w:start w:val="1"/>
      <w:numFmt w:val="bullet"/>
      <w:lvlText w:val=""/>
      <w:lvlJc w:val="left"/>
      <w:pPr>
        <w:ind w:left="4711" w:hanging="360"/>
      </w:pPr>
      <w:rPr>
        <w:rFonts w:ascii="Symbol" w:hAnsi="Symbol" w:hint="default"/>
      </w:rPr>
    </w:lvl>
    <w:lvl w:ilvl="7" w:tplc="04270003" w:tentative="1">
      <w:start w:val="1"/>
      <w:numFmt w:val="bullet"/>
      <w:lvlText w:val="o"/>
      <w:lvlJc w:val="left"/>
      <w:pPr>
        <w:ind w:left="5431" w:hanging="360"/>
      </w:pPr>
      <w:rPr>
        <w:rFonts w:ascii="Courier New" w:hAnsi="Courier New" w:cs="Courier New" w:hint="default"/>
      </w:rPr>
    </w:lvl>
    <w:lvl w:ilvl="8" w:tplc="04270005" w:tentative="1">
      <w:start w:val="1"/>
      <w:numFmt w:val="bullet"/>
      <w:lvlText w:val=""/>
      <w:lvlJc w:val="left"/>
      <w:pPr>
        <w:ind w:left="6151" w:hanging="360"/>
      </w:pPr>
      <w:rPr>
        <w:rFonts w:ascii="Wingdings" w:hAnsi="Wingdings" w:hint="default"/>
      </w:rPr>
    </w:lvl>
  </w:abstractNum>
  <w:abstractNum w:abstractNumId="28" w15:restartNumberingAfterBreak="0">
    <w:nsid w:val="67F03D0A"/>
    <w:multiLevelType w:val="hybridMultilevel"/>
    <w:tmpl w:val="F84C1C6A"/>
    <w:lvl w:ilvl="0" w:tplc="70BC4A20">
      <w:start w:val="1"/>
      <w:numFmt w:val="bullet"/>
      <w:lvlText w:val=""/>
      <w:lvlPicBulletId w:val="0"/>
      <w:lvlJc w:val="left"/>
      <w:pPr>
        <w:tabs>
          <w:tab w:val="num" w:pos="720"/>
        </w:tabs>
        <w:ind w:left="720" w:hanging="360"/>
      </w:pPr>
      <w:rPr>
        <w:rFonts w:ascii="Symbol" w:hAnsi="Symbol" w:hint="default"/>
      </w:rPr>
    </w:lvl>
    <w:lvl w:ilvl="1" w:tplc="3ED613F0" w:tentative="1">
      <w:start w:val="1"/>
      <w:numFmt w:val="bullet"/>
      <w:lvlText w:val=""/>
      <w:lvlJc w:val="left"/>
      <w:pPr>
        <w:tabs>
          <w:tab w:val="num" w:pos="1440"/>
        </w:tabs>
        <w:ind w:left="1440" w:hanging="360"/>
      </w:pPr>
      <w:rPr>
        <w:rFonts w:ascii="Symbol" w:hAnsi="Symbol" w:hint="default"/>
      </w:rPr>
    </w:lvl>
    <w:lvl w:ilvl="2" w:tplc="390273CE" w:tentative="1">
      <w:start w:val="1"/>
      <w:numFmt w:val="bullet"/>
      <w:lvlText w:val=""/>
      <w:lvlJc w:val="left"/>
      <w:pPr>
        <w:tabs>
          <w:tab w:val="num" w:pos="2160"/>
        </w:tabs>
        <w:ind w:left="2160" w:hanging="360"/>
      </w:pPr>
      <w:rPr>
        <w:rFonts w:ascii="Symbol" w:hAnsi="Symbol" w:hint="default"/>
      </w:rPr>
    </w:lvl>
    <w:lvl w:ilvl="3" w:tplc="1C0A3492" w:tentative="1">
      <w:start w:val="1"/>
      <w:numFmt w:val="bullet"/>
      <w:lvlText w:val=""/>
      <w:lvlJc w:val="left"/>
      <w:pPr>
        <w:tabs>
          <w:tab w:val="num" w:pos="2880"/>
        </w:tabs>
        <w:ind w:left="2880" w:hanging="360"/>
      </w:pPr>
      <w:rPr>
        <w:rFonts w:ascii="Symbol" w:hAnsi="Symbol" w:hint="default"/>
      </w:rPr>
    </w:lvl>
    <w:lvl w:ilvl="4" w:tplc="1E445DA2" w:tentative="1">
      <w:start w:val="1"/>
      <w:numFmt w:val="bullet"/>
      <w:lvlText w:val=""/>
      <w:lvlJc w:val="left"/>
      <w:pPr>
        <w:tabs>
          <w:tab w:val="num" w:pos="3600"/>
        </w:tabs>
        <w:ind w:left="3600" w:hanging="360"/>
      </w:pPr>
      <w:rPr>
        <w:rFonts w:ascii="Symbol" w:hAnsi="Symbol" w:hint="default"/>
      </w:rPr>
    </w:lvl>
    <w:lvl w:ilvl="5" w:tplc="655AAF8E" w:tentative="1">
      <w:start w:val="1"/>
      <w:numFmt w:val="bullet"/>
      <w:lvlText w:val=""/>
      <w:lvlJc w:val="left"/>
      <w:pPr>
        <w:tabs>
          <w:tab w:val="num" w:pos="4320"/>
        </w:tabs>
        <w:ind w:left="4320" w:hanging="360"/>
      </w:pPr>
      <w:rPr>
        <w:rFonts w:ascii="Symbol" w:hAnsi="Symbol" w:hint="default"/>
      </w:rPr>
    </w:lvl>
    <w:lvl w:ilvl="6" w:tplc="67A24C18" w:tentative="1">
      <w:start w:val="1"/>
      <w:numFmt w:val="bullet"/>
      <w:lvlText w:val=""/>
      <w:lvlJc w:val="left"/>
      <w:pPr>
        <w:tabs>
          <w:tab w:val="num" w:pos="5040"/>
        </w:tabs>
        <w:ind w:left="5040" w:hanging="360"/>
      </w:pPr>
      <w:rPr>
        <w:rFonts w:ascii="Symbol" w:hAnsi="Symbol" w:hint="default"/>
      </w:rPr>
    </w:lvl>
    <w:lvl w:ilvl="7" w:tplc="91CE25E2" w:tentative="1">
      <w:start w:val="1"/>
      <w:numFmt w:val="bullet"/>
      <w:lvlText w:val=""/>
      <w:lvlJc w:val="left"/>
      <w:pPr>
        <w:tabs>
          <w:tab w:val="num" w:pos="5760"/>
        </w:tabs>
        <w:ind w:left="5760" w:hanging="360"/>
      </w:pPr>
      <w:rPr>
        <w:rFonts w:ascii="Symbol" w:hAnsi="Symbol" w:hint="default"/>
      </w:rPr>
    </w:lvl>
    <w:lvl w:ilvl="8" w:tplc="DD42B760"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6978631C"/>
    <w:multiLevelType w:val="hybridMultilevel"/>
    <w:tmpl w:val="6FB63C6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77067F83"/>
    <w:multiLevelType w:val="hybridMultilevel"/>
    <w:tmpl w:val="3C306DD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7A8E72C4"/>
    <w:multiLevelType w:val="hybridMultilevel"/>
    <w:tmpl w:val="5A64094A"/>
    <w:lvl w:ilvl="0" w:tplc="04090011">
      <w:start w:val="1"/>
      <w:numFmt w:val="decimal"/>
      <w:lvlText w:val="%1)"/>
      <w:lvlJc w:val="left"/>
      <w:pPr>
        <w:ind w:left="751" w:hanging="360"/>
      </w:p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32" w15:restartNumberingAfterBreak="0">
    <w:nsid w:val="7BDF77DE"/>
    <w:multiLevelType w:val="hybridMultilevel"/>
    <w:tmpl w:val="BC7209C8"/>
    <w:lvl w:ilvl="0" w:tplc="EC0404DC">
      <w:start w:val="3"/>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AD05D0"/>
    <w:multiLevelType w:val="hybridMultilevel"/>
    <w:tmpl w:val="EBA6EE98"/>
    <w:lvl w:ilvl="0" w:tplc="59D0036E">
      <w:start w:val="2"/>
      <w:numFmt w:val="bullet"/>
      <w:lvlText w:val="-"/>
      <w:lvlJc w:val="left"/>
      <w:pPr>
        <w:ind w:left="391" w:hanging="360"/>
      </w:pPr>
      <w:rPr>
        <w:rFonts w:ascii="Arial" w:eastAsia="Times New Roman" w:hAnsi="Arial" w:cs="Arial" w:hint="default"/>
      </w:rPr>
    </w:lvl>
    <w:lvl w:ilvl="1" w:tplc="04270003" w:tentative="1">
      <w:start w:val="1"/>
      <w:numFmt w:val="bullet"/>
      <w:lvlText w:val="o"/>
      <w:lvlJc w:val="left"/>
      <w:pPr>
        <w:ind w:left="1111" w:hanging="360"/>
      </w:pPr>
      <w:rPr>
        <w:rFonts w:ascii="Courier New" w:hAnsi="Courier New" w:cs="Courier New" w:hint="default"/>
      </w:rPr>
    </w:lvl>
    <w:lvl w:ilvl="2" w:tplc="04270005" w:tentative="1">
      <w:start w:val="1"/>
      <w:numFmt w:val="bullet"/>
      <w:lvlText w:val=""/>
      <w:lvlJc w:val="left"/>
      <w:pPr>
        <w:ind w:left="1831" w:hanging="360"/>
      </w:pPr>
      <w:rPr>
        <w:rFonts w:ascii="Wingdings" w:hAnsi="Wingdings" w:hint="default"/>
      </w:rPr>
    </w:lvl>
    <w:lvl w:ilvl="3" w:tplc="04270001" w:tentative="1">
      <w:start w:val="1"/>
      <w:numFmt w:val="bullet"/>
      <w:lvlText w:val=""/>
      <w:lvlJc w:val="left"/>
      <w:pPr>
        <w:ind w:left="2551" w:hanging="360"/>
      </w:pPr>
      <w:rPr>
        <w:rFonts w:ascii="Symbol" w:hAnsi="Symbol" w:hint="default"/>
      </w:rPr>
    </w:lvl>
    <w:lvl w:ilvl="4" w:tplc="04270003" w:tentative="1">
      <w:start w:val="1"/>
      <w:numFmt w:val="bullet"/>
      <w:lvlText w:val="o"/>
      <w:lvlJc w:val="left"/>
      <w:pPr>
        <w:ind w:left="3271" w:hanging="360"/>
      </w:pPr>
      <w:rPr>
        <w:rFonts w:ascii="Courier New" w:hAnsi="Courier New" w:cs="Courier New" w:hint="default"/>
      </w:rPr>
    </w:lvl>
    <w:lvl w:ilvl="5" w:tplc="04270005" w:tentative="1">
      <w:start w:val="1"/>
      <w:numFmt w:val="bullet"/>
      <w:lvlText w:val=""/>
      <w:lvlJc w:val="left"/>
      <w:pPr>
        <w:ind w:left="3991" w:hanging="360"/>
      </w:pPr>
      <w:rPr>
        <w:rFonts w:ascii="Wingdings" w:hAnsi="Wingdings" w:hint="default"/>
      </w:rPr>
    </w:lvl>
    <w:lvl w:ilvl="6" w:tplc="04270001" w:tentative="1">
      <w:start w:val="1"/>
      <w:numFmt w:val="bullet"/>
      <w:lvlText w:val=""/>
      <w:lvlJc w:val="left"/>
      <w:pPr>
        <w:ind w:left="4711" w:hanging="360"/>
      </w:pPr>
      <w:rPr>
        <w:rFonts w:ascii="Symbol" w:hAnsi="Symbol" w:hint="default"/>
      </w:rPr>
    </w:lvl>
    <w:lvl w:ilvl="7" w:tplc="04270003" w:tentative="1">
      <w:start w:val="1"/>
      <w:numFmt w:val="bullet"/>
      <w:lvlText w:val="o"/>
      <w:lvlJc w:val="left"/>
      <w:pPr>
        <w:ind w:left="5431" w:hanging="360"/>
      </w:pPr>
      <w:rPr>
        <w:rFonts w:ascii="Courier New" w:hAnsi="Courier New" w:cs="Courier New" w:hint="default"/>
      </w:rPr>
    </w:lvl>
    <w:lvl w:ilvl="8" w:tplc="04270005" w:tentative="1">
      <w:start w:val="1"/>
      <w:numFmt w:val="bullet"/>
      <w:lvlText w:val=""/>
      <w:lvlJc w:val="left"/>
      <w:pPr>
        <w:ind w:left="6151" w:hanging="360"/>
      </w:pPr>
      <w:rPr>
        <w:rFonts w:ascii="Wingdings" w:hAnsi="Wingdings" w:hint="default"/>
      </w:rPr>
    </w:lvl>
  </w:abstractNum>
  <w:num w:numId="1">
    <w:abstractNumId w:val="17"/>
  </w:num>
  <w:num w:numId="2">
    <w:abstractNumId w:val="3"/>
  </w:num>
  <w:num w:numId="3">
    <w:abstractNumId w:val="20"/>
  </w:num>
  <w:num w:numId="4">
    <w:abstractNumId w:val="18"/>
  </w:num>
  <w:num w:numId="5">
    <w:abstractNumId w:val="1"/>
  </w:num>
  <w:num w:numId="6">
    <w:abstractNumId w:val="16"/>
  </w:num>
  <w:num w:numId="7">
    <w:abstractNumId w:val="2"/>
  </w:num>
  <w:num w:numId="8">
    <w:abstractNumId w:val="11"/>
  </w:num>
  <w:num w:numId="9">
    <w:abstractNumId w:val="26"/>
  </w:num>
  <w:num w:numId="10">
    <w:abstractNumId w:val="29"/>
  </w:num>
  <w:num w:numId="11">
    <w:abstractNumId w:val="25"/>
  </w:num>
  <w:num w:numId="12">
    <w:abstractNumId w:val="24"/>
  </w:num>
  <w:num w:numId="13">
    <w:abstractNumId w:val="9"/>
  </w:num>
  <w:num w:numId="14">
    <w:abstractNumId w:val="33"/>
  </w:num>
  <w:num w:numId="15">
    <w:abstractNumId w:val="27"/>
  </w:num>
  <w:num w:numId="16">
    <w:abstractNumId w:val="12"/>
  </w:num>
  <w:num w:numId="17">
    <w:abstractNumId w:val="13"/>
  </w:num>
  <w:num w:numId="18">
    <w:abstractNumId w:val="31"/>
  </w:num>
  <w:num w:numId="19">
    <w:abstractNumId w:val="5"/>
  </w:num>
  <w:num w:numId="20">
    <w:abstractNumId w:val="7"/>
  </w:num>
  <w:num w:numId="21">
    <w:abstractNumId w:val="15"/>
  </w:num>
  <w:num w:numId="22">
    <w:abstractNumId w:val="4"/>
  </w:num>
  <w:num w:numId="23">
    <w:abstractNumId w:val="21"/>
  </w:num>
  <w:num w:numId="24">
    <w:abstractNumId w:val="14"/>
  </w:num>
  <w:num w:numId="25">
    <w:abstractNumId w:val="0"/>
  </w:num>
  <w:num w:numId="26">
    <w:abstractNumId w:val="6"/>
  </w:num>
  <w:num w:numId="27">
    <w:abstractNumId w:val="28"/>
  </w:num>
  <w:num w:numId="28">
    <w:abstractNumId w:val="23"/>
  </w:num>
  <w:num w:numId="29">
    <w:abstractNumId w:val="30"/>
  </w:num>
  <w:num w:numId="30">
    <w:abstractNumId w:val="22"/>
  </w:num>
  <w:num w:numId="31">
    <w:abstractNumId w:val="8"/>
  </w:num>
  <w:num w:numId="32">
    <w:abstractNumId w:val="19"/>
  </w:num>
  <w:num w:numId="33">
    <w:abstractNumId w:val="32"/>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C35"/>
    <w:rsid w:val="0000059E"/>
    <w:rsid w:val="00002628"/>
    <w:rsid w:val="000030E7"/>
    <w:rsid w:val="0000481A"/>
    <w:rsid w:val="00004B72"/>
    <w:rsid w:val="00006CAE"/>
    <w:rsid w:val="000079A7"/>
    <w:rsid w:val="00010004"/>
    <w:rsid w:val="00011DB4"/>
    <w:rsid w:val="00014314"/>
    <w:rsid w:val="0001461F"/>
    <w:rsid w:val="00014B7B"/>
    <w:rsid w:val="00014D96"/>
    <w:rsid w:val="000152F5"/>
    <w:rsid w:val="00015A58"/>
    <w:rsid w:val="000165FF"/>
    <w:rsid w:val="000170D8"/>
    <w:rsid w:val="00017C8B"/>
    <w:rsid w:val="00020B9A"/>
    <w:rsid w:val="000211B0"/>
    <w:rsid w:val="00022510"/>
    <w:rsid w:val="0002274F"/>
    <w:rsid w:val="00022A4C"/>
    <w:rsid w:val="00024179"/>
    <w:rsid w:val="00025C4A"/>
    <w:rsid w:val="00025FEB"/>
    <w:rsid w:val="0002631E"/>
    <w:rsid w:val="00026683"/>
    <w:rsid w:val="00026881"/>
    <w:rsid w:val="00026B04"/>
    <w:rsid w:val="00026DA9"/>
    <w:rsid w:val="00026EA6"/>
    <w:rsid w:val="0003099D"/>
    <w:rsid w:val="000309D5"/>
    <w:rsid w:val="00030CB5"/>
    <w:rsid w:val="000320AE"/>
    <w:rsid w:val="00032630"/>
    <w:rsid w:val="00034040"/>
    <w:rsid w:val="0003513A"/>
    <w:rsid w:val="000353BB"/>
    <w:rsid w:val="00035DDD"/>
    <w:rsid w:val="00036A71"/>
    <w:rsid w:val="00037E05"/>
    <w:rsid w:val="00040D92"/>
    <w:rsid w:val="00040EEC"/>
    <w:rsid w:val="00041894"/>
    <w:rsid w:val="00042007"/>
    <w:rsid w:val="00042527"/>
    <w:rsid w:val="00043847"/>
    <w:rsid w:val="0004429E"/>
    <w:rsid w:val="0004507F"/>
    <w:rsid w:val="0004540F"/>
    <w:rsid w:val="0004616C"/>
    <w:rsid w:val="00046F11"/>
    <w:rsid w:val="00047AFA"/>
    <w:rsid w:val="00047E42"/>
    <w:rsid w:val="00052DE3"/>
    <w:rsid w:val="00054DF7"/>
    <w:rsid w:val="00055154"/>
    <w:rsid w:val="00055A6C"/>
    <w:rsid w:val="00055E9B"/>
    <w:rsid w:val="000561D2"/>
    <w:rsid w:val="0005655C"/>
    <w:rsid w:val="00056920"/>
    <w:rsid w:val="00056C35"/>
    <w:rsid w:val="00057699"/>
    <w:rsid w:val="00060A9C"/>
    <w:rsid w:val="00060BA2"/>
    <w:rsid w:val="00062C09"/>
    <w:rsid w:val="00062DF9"/>
    <w:rsid w:val="000638C2"/>
    <w:rsid w:val="0006422A"/>
    <w:rsid w:val="00066426"/>
    <w:rsid w:val="00066787"/>
    <w:rsid w:val="00066916"/>
    <w:rsid w:val="0007008A"/>
    <w:rsid w:val="000708C4"/>
    <w:rsid w:val="00070C73"/>
    <w:rsid w:val="0007170A"/>
    <w:rsid w:val="000718F1"/>
    <w:rsid w:val="00072116"/>
    <w:rsid w:val="00072323"/>
    <w:rsid w:val="000723A4"/>
    <w:rsid w:val="00072B0A"/>
    <w:rsid w:val="00073103"/>
    <w:rsid w:val="00075E22"/>
    <w:rsid w:val="0007689F"/>
    <w:rsid w:val="00077452"/>
    <w:rsid w:val="000809C5"/>
    <w:rsid w:val="000823B0"/>
    <w:rsid w:val="000834B0"/>
    <w:rsid w:val="00083B14"/>
    <w:rsid w:val="00083F48"/>
    <w:rsid w:val="0008483C"/>
    <w:rsid w:val="00084870"/>
    <w:rsid w:val="00084D6B"/>
    <w:rsid w:val="0008574E"/>
    <w:rsid w:val="00085B27"/>
    <w:rsid w:val="000866AB"/>
    <w:rsid w:val="00086D89"/>
    <w:rsid w:val="000871C3"/>
    <w:rsid w:val="00087503"/>
    <w:rsid w:val="000900E5"/>
    <w:rsid w:val="00090F09"/>
    <w:rsid w:val="000914CE"/>
    <w:rsid w:val="00091541"/>
    <w:rsid w:val="00091687"/>
    <w:rsid w:val="00091B91"/>
    <w:rsid w:val="00092556"/>
    <w:rsid w:val="000925C6"/>
    <w:rsid w:val="0009366D"/>
    <w:rsid w:val="00093CC8"/>
    <w:rsid w:val="000952EE"/>
    <w:rsid w:val="000953CB"/>
    <w:rsid w:val="0009642A"/>
    <w:rsid w:val="0009763A"/>
    <w:rsid w:val="000A057D"/>
    <w:rsid w:val="000A0833"/>
    <w:rsid w:val="000A1A40"/>
    <w:rsid w:val="000A23C1"/>
    <w:rsid w:val="000A3031"/>
    <w:rsid w:val="000A33CF"/>
    <w:rsid w:val="000A3923"/>
    <w:rsid w:val="000A5435"/>
    <w:rsid w:val="000A64C5"/>
    <w:rsid w:val="000A7309"/>
    <w:rsid w:val="000B079B"/>
    <w:rsid w:val="000B1A3E"/>
    <w:rsid w:val="000B2D5D"/>
    <w:rsid w:val="000B2F5B"/>
    <w:rsid w:val="000B32B2"/>
    <w:rsid w:val="000B7043"/>
    <w:rsid w:val="000B7696"/>
    <w:rsid w:val="000B791F"/>
    <w:rsid w:val="000C1E3D"/>
    <w:rsid w:val="000C549C"/>
    <w:rsid w:val="000C5604"/>
    <w:rsid w:val="000C5652"/>
    <w:rsid w:val="000C5F64"/>
    <w:rsid w:val="000C639F"/>
    <w:rsid w:val="000C761C"/>
    <w:rsid w:val="000C773D"/>
    <w:rsid w:val="000C7DCB"/>
    <w:rsid w:val="000C7F99"/>
    <w:rsid w:val="000D0736"/>
    <w:rsid w:val="000D132F"/>
    <w:rsid w:val="000D145F"/>
    <w:rsid w:val="000D1C00"/>
    <w:rsid w:val="000D1D3B"/>
    <w:rsid w:val="000D2858"/>
    <w:rsid w:val="000D2900"/>
    <w:rsid w:val="000D331A"/>
    <w:rsid w:val="000D372D"/>
    <w:rsid w:val="000D45EC"/>
    <w:rsid w:val="000D7836"/>
    <w:rsid w:val="000D7DA2"/>
    <w:rsid w:val="000D7EB8"/>
    <w:rsid w:val="000E24BF"/>
    <w:rsid w:val="000E2814"/>
    <w:rsid w:val="000E3233"/>
    <w:rsid w:val="000E4047"/>
    <w:rsid w:val="000E44F8"/>
    <w:rsid w:val="000E48A2"/>
    <w:rsid w:val="000E562F"/>
    <w:rsid w:val="000E60D3"/>
    <w:rsid w:val="000E7232"/>
    <w:rsid w:val="000E789B"/>
    <w:rsid w:val="000F0DD7"/>
    <w:rsid w:val="000F1DA4"/>
    <w:rsid w:val="000F1F1B"/>
    <w:rsid w:val="000F1F54"/>
    <w:rsid w:val="000F32C7"/>
    <w:rsid w:val="000F3660"/>
    <w:rsid w:val="000F38DD"/>
    <w:rsid w:val="000F38E3"/>
    <w:rsid w:val="000F3E39"/>
    <w:rsid w:val="000F4DE0"/>
    <w:rsid w:val="000F4E76"/>
    <w:rsid w:val="000F5919"/>
    <w:rsid w:val="000F6B86"/>
    <w:rsid w:val="000F6EEC"/>
    <w:rsid w:val="000F7AD7"/>
    <w:rsid w:val="000F7EE7"/>
    <w:rsid w:val="00100522"/>
    <w:rsid w:val="00103481"/>
    <w:rsid w:val="00103947"/>
    <w:rsid w:val="0010433A"/>
    <w:rsid w:val="00106316"/>
    <w:rsid w:val="00106711"/>
    <w:rsid w:val="001067FA"/>
    <w:rsid w:val="0010680A"/>
    <w:rsid w:val="00107D6F"/>
    <w:rsid w:val="00111793"/>
    <w:rsid w:val="001129D4"/>
    <w:rsid w:val="00114082"/>
    <w:rsid w:val="00114512"/>
    <w:rsid w:val="001157C6"/>
    <w:rsid w:val="0011680B"/>
    <w:rsid w:val="001172DE"/>
    <w:rsid w:val="0011738B"/>
    <w:rsid w:val="00120904"/>
    <w:rsid w:val="00121873"/>
    <w:rsid w:val="001235E5"/>
    <w:rsid w:val="00123D0C"/>
    <w:rsid w:val="00123E74"/>
    <w:rsid w:val="001255EA"/>
    <w:rsid w:val="00126E90"/>
    <w:rsid w:val="001305F4"/>
    <w:rsid w:val="00130C10"/>
    <w:rsid w:val="00132AD8"/>
    <w:rsid w:val="00132C94"/>
    <w:rsid w:val="00133914"/>
    <w:rsid w:val="00134048"/>
    <w:rsid w:val="00134828"/>
    <w:rsid w:val="00135592"/>
    <w:rsid w:val="00140223"/>
    <w:rsid w:val="00140411"/>
    <w:rsid w:val="00140A5B"/>
    <w:rsid w:val="00140D14"/>
    <w:rsid w:val="001422F2"/>
    <w:rsid w:val="0014247A"/>
    <w:rsid w:val="00142CDC"/>
    <w:rsid w:val="00143E6D"/>
    <w:rsid w:val="00144CAD"/>
    <w:rsid w:val="0014505B"/>
    <w:rsid w:val="00145571"/>
    <w:rsid w:val="001457A1"/>
    <w:rsid w:val="00145C8D"/>
    <w:rsid w:val="00146219"/>
    <w:rsid w:val="0015027D"/>
    <w:rsid w:val="001508AA"/>
    <w:rsid w:val="0015177E"/>
    <w:rsid w:val="00151E3D"/>
    <w:rsid w:val="0015286A"/>
    <w:rsid w:val="00152FCA"/>
    <w:rsid w:val="00153140"/>
    <w:rsid w:val="00153B3B"/>
    <w:rsid w:val="00154724"/>
    <w:rsid w:val="001550C4"/>
    <w:rsid w:val="0015547B"/>
    <w:rsid w:val="00155A4E"/>
    <w:rsid w:val="00155AEF"/>
    <w:rsid w:val="00155C73"/>
    <w:rsid w:val="00155C9E"/>
    <w:rsid w:val="00155FF6"/>
    <w:rsid w:val="001563A7"/>
    <w:rsid w:val="00157783"/>
    <w:rsid w:val="001579B9"/>
    <w:rsid w:val="001619CD"/>
    <w:rsid w:val="00161A46"/>
    <w:rsid w:val="00161A7E"/>
    <w:rsid w:val="00162283"/>
    <w:rsid w:val="00162B40"/>
    <w:rsid w:val="00164CD6"/>
    <w:rsid w:val="0016573D"/>
    <w:rsid w:val="00167C0B"/>
    <w:rsid w:val="001700B2"/>
    <w:rsid w:val="00170CE6"/>
    <w:rsid w:val="00171D3A"/>
    <w:rsid w:val="00172352"/>
    <w:rsid w:val="001733DA"/>
    <w:rsid w:val="00173F3E"/>
    <w:rsid w:val="001744C3"/>
    <w:rsid w:val="001744D9"/>
    <w:rsid w:val="00174BC6"/>
    <w:rsid w:val="00175188"/>
    <w:rsid w:val="0017787E"/>
    <w:rsid w:val="00180379"/>
    <w:rsid w:val="00181358"/>
    <w:rsid w:val="001814E6"/>
    <w:rsid w:val="00181725"/>
    <w:rsid w:val="00182A76"/>
    <w:rsid w:val="00182FB0"/>
    <w:rsid w:val="00183576"/>
    <w:rsid w:val="0018474A"/>
    <w:rsid w:val="0018486C"/>
    <w:rsid w:val="00186890"/>
    <w:rsid w:val="00186D2F"/>
    <w:rsid w:val="0018712D"/>
    <w:rsid w:val="00187334"/>
    <w:rsid w:val="00187456"/>
    <w:rsid w:val="00187B05"/>
    <w:rsid w:val="0019106C"/>
    <w:rsid w:val="00191425"/>
    <w:rsid w:val="0019209A"/>
    <w:rsid w:val="001928DA"/>
    <w:rsid w:val="00193497"/>
    <w:rsid w:val="00193878"/>
    <w:rsid w:val="00193CDE"/>
    <w:rsid w:val="0019428C"/>
    <w:rsid w:val="00196015"/>
    <w:rsid w:val="00196A98"/>
    <w:rsid w:val="00197F96"/>
    <w:rsid w:val="00197FBE"/>
    <w:rsid w:val="001A2B91"/>
    <w:rsid w:val="001A2D30"/>
    <w:rsid w:val="001A4282"/>
    <w:rsid w:val="001A4A1F"/>
    <w:rsid w:val="001A4B80"/>
    <w:rsid w:val="001A5406"/>
    <w:rsid w:val="001A5BE3"/>
    <w:rsid w:val="001A7B46"/>
    <w:rsid w:val="001A7E0B"/>
    <w:rsid w:val="001B0995"/>
    <w:rsid w:val="001B0E17"/>
    <w:rsid w:val="001B0EC0"/>
    <w:rsid w:val="001B1A10"/>
    <w:rsid w:val="001B1C5D"/>
    <w:rsid w:val="001B2DE4"/>
    <w:rsid w:val="001B2FB6"/>
    <w:rsid w:val="001B3CE4"/>
    <w:rsid w:val="001B4B93"/>
    <w:rsid w:val="001B5457"/>
    <w:rsid w:val="001B5763"/>
    <w:rsid w:val="001B5996"/>
    <w:rsid w:val="001B7078"/>
    <w:rsid w:val="001B7721"/>
    <w:rsid w:val="001C130E"/>
    <w:rsid w:val="001C144C"/>
    <w:rsid w:val="001C1FC9"/>
    <w:rsid w:val="001C2BC1"/>
    <w:rsid w:val="001C50CB"/>
    <w:rsid w:val="001C5320"/>
    <w:rsid w:val="001C5891"/>
    <w:rsid w:val="001C6455"/>
    <w:rsid w:val="001C6A56"/>
    <w:rsid w:val="001C73FB"/>
    <w:rsid w:val="001D07EE"/>
    <w:rsid w:val="001D2B69"/>
    <w:rsid w:val="001D3858"/>
    <w:rsid w:val="001D4D7A"/>
    <w:rsid w:val="001D56D8"/>
    <w:rsid w:val="001D7F4D"/>
    <w:rsid w:val="001E2513"/>
    <w:rsid w:val="001E2A52"/>
    <w:rsid w:val="001E31E0"/>
    <w:rsid w:val="001E37E4"/>
    <w:rsid w:val="001E5003"/>
    <w:rsid w:val="001E5CBD"/>
    <w:rsid w:val="001E78F0"/>
    <w:rsid w:val="001F010A"/>
    <w:rsid w:val="001F07CC"/>
    <w:rsid w:val="001F0F9F"/>
    <w:rsid w:val="001F258E"/>
    <w:rsid w:val="001F35C7"/>
    <w:rsid w:val="001F3CA8"/>
    <w:rsid w:val="001F5126"/>
    <w:rsid w:val="001F531F"/>
    <w:rsid w:val="001F6394"/>
    <w:rsid w:val="001F7BBC"/>
    <w:rsid w:val="001F7EAC"/>
    <w:rsid w:val="00201B60"/>
    <w:rsid w:val="002039E3"/>
    <w:rsid w:val="00204629"/>
    <w:rsid w:val="0020470A"/>
    <w:rsid w:val="00206501"/>
    <w:rsid w:val="00207257"/>
    <w:rsid w:val="002101D6"/>
    <w:rsid w:val="002105EE"/>
    <w:rsid w:val="002106B0"/>
    <w:rsid w:val="00212517"/>
    <w:rsid w:val="00213036"/>
    <w:rsid w:val="002145E6"/>
    <w:rsid w:val="00214C70"/>
    <w:rsid w:val="002150B9"/>
    <w:rsid w:val="00215821"/>
    <w:rsid w:val="00215A66"/>
    <w:rsid w:val="0021620B"/>
    <w:rsid w:val="00216A56"/>
    <w:rsid w:val="00216F37"/>
    <w:rsid w:val="00217D7B"/>
    <w:rsid w:val="00220053"/>
    <w:rsid w:val="00220F2A"/>
    <w:rsid w:val="00221A62"/>
    <w:rsid w:val="00221CD8"/>
    <w:rsid w:val="002233D6"/>
    <w:rsid w:val="002233FE"/>
    <w:rsid w:val="00223839"/>
    <w:rsid w:val="002239A3"/>
    <w:rsid w:val="00224C20"/>
    <w:rsid w:val="0022664C"/>
    <w:rsid w:val="00226DEE"/>
    <w:rsid w:val="00227915"/>
    <w:rsid w:val="00227B1A"/>
    <w:rsid w:val="00227D3E"/>
    <w:rsid w:val="002309A6"/>
    <w:rsid w:val="0023293C"/>
    <w:rsid w:val="0023431B"/>
    <w:rsid w:val="0023517F"/>
    <w:rsid w:val="00235446"/>
    <w:rsid w:val="00237BA6"/>
    <w:rsid w:val="00241A2D"/>
    <w:rsid w:val="00241B10"/>
    <w:rsid w:val="00242DA9"/>
    <w:rsid w:val="00243077"/>
    <w:rsid w:val="00243484"/>
    <w:rsid w:val="00243A48"/>
    <w:rsid w:val="00244020"/>
    <w:rsid w:val="00244F31"/>
    <w:rsid w:val="0024514C"/>
    <w:rsid w:val="002465EA"/>
    <w:rsid w:val="00246A6C"/>
    <w:rsid w:val="00247FC3"/>
    <w:rsid w:val="00250039"/>
    <w:rsid w:val="00250EF6"/>
    <w:rsid w:val="002522AB"/>
    <w:rsid w:val="002527DE"/>
    <w:rsid w:val="00252D7E"/>
    <w:rsid w:val="00255C4E"/>
    <w:rsid w:val="00257CFE"/>
    <w:rsid w:val="00261157"/>
    <w:rsid w:val="00261C89"/>
    <w:rsid w:val="00262101"/>
    <w:rsid w:val="002627BE"/>
    <w:rsid w:val="00264201"/>
    <w:rsid w:val="0026535B"/>
    <w:rsid w:val="002658CA"/>
    <w:rsid w:val="00271DDC"/>
    <w:rsid w:val="0027303B"/>
    <w:rsid w:val="00273D6E"/>
    <w:rsid w:val="002754A1"/>
    <w:rsid w:val="00275E9F"/>
    <w:rsid w:val="0027688A"/>
    <w:rsid w:val="00276A38"/>
    <w:rsid w:val="00276BB1"/>
    <w:rsid w:val="00282249"/>
    <w:rsid w:val="00282E32"/>
    <w:rsid w:val="00282E59"/>
    <w:rsid w:val="0028376B"/>
    <w:rsid w:val="00284AC1"/>
    <w:rsid w:val="00285690"/>
    <w:rsid w:val="002859F0"/>
    <w:rsid w:val="00285CDE"/>
    <w:rsid w:val="002867C4"/>
    <w:rsid w:val="0028736F"/>
    <w:rsid w:val="002878F7"/>
    <w:rsid w:val="00287945"/>
    <w:rsid w:val="002915A3"/>
    <w:rsid w:val="00292F21"/>
    <w:rsid w:val="0029329A"/>
    <w:rsid w:val="00293C53"/>
    <w:rsid w:val="00294668"/>
    <w:rsid w:val="0029558A"/>
    <w:rsid w:val="002959D1"/>
    <w:rsid w:val="00296159"/>
    <w:rsid w:val="00296354"/>
    <w:rsid w:val="002964B4"/>
    <w:rsid w:val="0029674C"/>
    <w:rsid w:val="002971EB"/>
    <w:rsid w:val="00297922"/>
    <w:rsid w:val="00297C35"/>
    <w:rsid w:val="00297C72"/>
    <w:rsid w:val="002A03D5"/>
    <w:rsid w:val="002A0911"/>
    <w:rsid w:val="002A107F"/>
    <w:rsid w:val="002A1E4B"/>
    <w:rsid w:val="002A28D0"/>
    <w:rsid w:val="002A29DA"/>
    <w:rsid w:val="002A2B4A"/>
    <w:rsid w:val="002A2F65"/>
    <w:rsid w:val="002A30C9"/>
    <w:rsid w:val="002A501B"/>
    <w:rsid w:val="002A5E48"/>
    <w:rsid w:val="002A777B"/>
    <w:rsid w:val="002B0AE5"/>
    <w:rsid w:val="002B1ADF"/>
    <w:rsid w:val="002B24A3"/>
    <w:rsid w:val="002B2530"/>
    <w:rsid w:val="002B29CF"/>
    <w:rsid w:val="002B340F"/>
    <w:rsid w:val="002B3D08"/>
    <w:rsid w:val="002B4116"/>
    <w:rsid w:val="002B4B9E"/>
    <w:rsid w:val="002B54CA"/>
    <w:rsid w:val="002B5DE8"/>
    <w:rsid w:val="002B5E99"/>
    <w:rsid w:val="002B7F01"/>
    <w:rsid w:val="002C01B5"/>
    <w:rsid w:val="002C064D"/>
    <w:rsid w:val="002C098E"/>
    <w:rsid w:val="002C22C2"/>
    <w:rsid w:val="002C2448"/>
    <w:rsid w:val="002C25DD"/>
    <w:rsid w:val="002C2FE6"/>
    <w:rsid w:val="002C31DD"/>
    <w:rsid w:val="002C3363"/>
    <w:rsid w:val="002C3385"/>
    <w:rsid w:val="002C5761"/>
    <w:rsid w:val="002C5902"/>
    <w:rsid w:val="002C6798"/>
    <w:rsid w:val="002C6BE2"/>
    <w:rsid w:val="002C6DD1"/>
    <w:rsid w:val="002C7AF1"/>
    <w:rsid w:val="002D1357"/>
    <w:rsid w:val="002D1B16"/>
    <w:rsid w:val="002D2211"/>
    <w:rsid w:val="002D2652"/>
    <w:rsid w:val="002D2F3B"/>
    <w:rsid w:val="002D562A"/>
    <w:rsid w:val="002D6588"/>
    <w:rsid w:val="002E06D0"/>
    <w:rsid w:val="002E0D95"/>
    <w:rsid w:val="002E1B0A"/>
    <w:rsid w:val="002E2B77"/>
    <w:rsid w:val="002E3D0E"/>
    <w:rsid w:val="002E45ED"/>
    <w:rsid w:val="002E4DF0"/>
    <w:rsid w:val="002E4E42"/>
    <w:rsid w:val="002E50DA"/>
    <w:rsid w:val="002E5439"/>
    <w:rsid w:val="002E5CE5"/>
    <w:rsid w:val="002E7F5F"/>
    <w:rsid w:val="002F0248"/>
    <w:rsid w:val="002F1E81"/>
    <w:rsid w:val="002F25C9"/>
    <w:rsid w:val="002F2F63"/>
    <w:rsid w:val="002F4813"/>
    <w:rsid w:val="002F4BFD"/>
    <w:rsid w:val="002F5208"/>
    <w:rsid w:val="002F72DE"/>
    <w:rsid w:val="002F77D3"/>
    <w:rsid w:val="0030162D"/>
    <w:rsid w:val="00301701"/>
    <w:rsid w:val="00301C96"/>
    <w:rsid w:val="003021D6"/>
    <w:rsid w:val="00303500"/>
    <w:rsid w:val="00303B81"/>
    <w:rsid w:val="00304481"/>
    <w:rsid w:val="00305562"/>
    <w:rsid w:val="00306B6A"/>
    <w:rsid w:val="003072BD"/>
    <w:rsid w:val="0031114A"/>
    <w:rsid w:val="003121E0"/>
    <w:rsid w:val="00313131"/>
    <w:rsid w:val="00315336"/>
    <w:rsid w:val="003171FC"/>
    <w:rsid w:val="00317822"/>
    <w:rsid w:val="00320C41"/>
    <w:rsid w:val="00322E3E"/>
    <w:rsid w:val="00324543"/>
    <w:rsid w:val="0032524F"/>
    <w:rsid w:val="0032583D"/>
    <w:rsid w:val="0032612E"/>
    <w:rsid w:val="003265C8"/>
    <w:rsid w:val="0032702B"/>
    <w:rsid w:val="00327590"/>
    <w:rsid w:val="003309FE"/>
    <w:rsid w:val="00331171"/>
    <w:rsid w:val="003341E5"/>
    <w:rsid w:val="0033484C"/>
    <w:rsid w:val="00340134"/>
    <w:rsid w:val="00340AB5"/>
    <w:rsid w:val="003416C9"/>
    <w:rsid w:val="00342760"/>
    <w:rsid w:val="00342E1D"/>
    <w:rsid w:val="00342E4B"/>
    <w:rsid w:val="003432ED"/>
    <w:rsid w:val="0034492E"/>
    <w:rsid w:val="00344D3E"/>
    <w:rsid w:val="00345429"/>
    <w:rsid w:val="00346B31"/>
    <w:rsid w:val="00347017"/>
    <w:rsid w:val="003504D4"/>
    <w:rsid w:val="00350C5C"/>
    <w:rsid w:val="003512FF"/>
    <w:rsid w:val="00351B5F"/>
    <w:rsid w:val="00353AA8"/>
    <w:rsid w:val="00355A1B"/>
    <w:rsid w:val="003565A6"/>
    <w:rsid w:val="003565DF"/>
    <w:rsid w:val="00360E9E"/>
    <w:rsid w:val="00361F8D"/>
    <w:rsid w:val="003620CC"/>
    <w:rsid w:val="0036295F"/>
    <w:rsid w:val="00362A17"/>
    <w:rsid w:val="003635DC"/>
    <w:rsid w:val="00363871"/>
    <w:rsid w:val="0036689F"/>
    <w:rsid w:val="00366DAC"/>
    <w:rsid w:val="0037009A"/>
    <w:rsid w:val="00370AD3"/>
    <w:rsid w:val="0037203A"/>
    <w:rsid w:val="003730E8"/>
    <w:rsid w:val="003742B7"/>
    <w:rsid w:val="00374F87"/>
    <w:rsid w:val="00375175"/>
    <w:rsid w:val="00375CCC"/>
    <w:rsid w:val="00376044"/>
    <w:rsid w:val="00376051"/>
    <w:rsid w:val="00376770"/>
    <w:rsid w:val="00380288"/>
    <w:rsid w:val="00380404"/>
    <w:rsid w:val="0038181D"/>
    <w:rsid w:val="0038193A"/>
    <w:rsid w:val="003819B8"/>
    <w:rsid w:val="00381D28"/>
    <w:rsid w:val="00383DEA"/>
    <w:rsid w:val="0038534D"/>
    <w:rsid w:val="00385E2F"/>
    <w:rsid w:val="00387491"/>
    <w:rsid w:val="0039087F"/>
    <w:rsid w:val="00390AFF"/>
    <w:rsid w:val="00392047"/>
    <w:rsid w:val="003927A7"/>
    <w:rsid w:val="0039308C"/>
    <w:rsid w:val="00393E53"/>
    <w:rsid w:val="00394073"/>
    <w:rsid w:val="00394129"/>
    <w:rsid w:val="003943EF"/>
    <w:rsid w:val="00394556"/>
    <w:rsid w:val="003963A2"/>
    <w:rsid w:val="003965B9"/>
    <w:rsid w:val="003A00FE"/>
    <w:rsid w:val="003A052B"/>
    <w:rsid w:val="003A0EF1"/>
    <w:rsid w:val="003A0EF5"/>
    <w:rsid w:val="003A2ACB"/>
    <w:rsid w:val="003A3ABD"/>
    <w:rsid w:val="003A57E8"/>
    <w:rsid w:val="003A5C96"/>
    <w:rsid w:val="003A5FBF"/>
    <w:rsid w:val="003A6182"/>
    <w:rsid w:val="003A7121"/>
    <w:rsid w:val="003A76F2"/>
    <w:rsid w:val="003A779A"/>
    <w:rsid w:val="003A79D8"/>
    <w:rsid w:val="003A7E08"/>
    <w:rsid w:val="003B0834"/>
    <w:rsid w:val="003B0978"/>
    <w:rsid w:val="003B1863"/>
    <w:rsid w:val="003B23C4"/>
    <w:rsid w:val="003B25C9"/>
    <w:rsid w:val="003B3C0A"/>
    <w:rsid w:val="003B4128"/>
    <w:rsid w:val="003B5F7C"/>
    <w:rsid w:val="003B649E"/>
    <w:rsid w:val="003B763F"/>
    <w:rsid w:val="003B77E9"/>
    <w:rsid w:val="003B7E1C"/>
    <w:rsid w:val="003C16AD"/>
    <w:rsid w:val="003C1D86"/>
    <w:rsid w:val="003C34C6"/>
    <w:rsid w:val="003C3FED"/>
    <w:rsid w:val="003C4088"/>
    <w:rsid w:val="003C515D"/>
    <w:rsid w:val="003C5B7C"/>
    <w:rsid w:val="003C6A74"/>
    <w:rsid w:val="003C7546"/>
    <w:rsid w:val="003C7640"/>
    <w:rsid w:val="003C7B07"/>
    <w:rsid w:val="003D0151"/>
    <w:rsid w:val="003D11C0"/>
    <w:rsid w:val="003D2BD5"/>
    <w:rsid w:val="003D2C03"/>
    <w:rsid w:val="003D2F63"/>
    <w:rsid w:val="003D362E"/>
    <w:rsid w:val="003D395F"/>
    <w:rsid w:val="003D4360"/>
    <w:rsid w:val="003D5C9D"/>
    <w:rsid w:val="003D79F4"/>
    <w:rsid w:val="003D7A06"/>
    <w:rsid w:val="003E00C8"/>
    <w:rsid w:val="003E1AE4"/>
    <w:rsid w:val="003E221C"/>
    <w:rsid w:val="003E3EF3"/>
    <w:rsid w:val="003E4A63"/>
    <w:rsid w:val="003E7696"/>
    <w:rsid w:val="003F0CA3"/>
    <w:rsid w:val="003F0D43"/>
    <w:rsid w:val="003F0E04"/>
    <w:rsid w:val="003F1052"/>
    <w:rsid w:val="003F1182"/>
    <w:rsid w:val="003F405D"/>
    <w:rsid w:val="003F52AE"/>
    <w:rsid w:val="003F6CF0"/>
    <w:rsid w:val="004001ED"/>
    <w:rsid w:val="00400D5F"/>
    <w:rsid w:val="0040115F"/>
    <w:rsid w:val="0040275D"/>
    <w:rsid w:val="0040276B"/>
    <w:rsid w:val="00402E1A"/>
    <w:rsid w:val="004039FE"/>
    <w:rsid w:val="004046EE"/>
    <w:rsid w:val="00404C46"/>
    <w:rsid w:val="00404DED"/>
    <w:rsid w:val="0040637F"/>
    <w:rsid w:val="004063C2"/>
    <w:rsid w:val="0040721B"/>
    <w:rsid w:val="00410449"/>
    <w:rsid w:val="004104EA"/>
    <w:rsid w:val="00410E3F"/>
    <w:rsid w:val="004118DE"/>
    <w:rsid w:val="00412393"/>
    <w:rsid w:val="004135D6"/>
    <w:rsid w:val="00420766"/>
    <w:rsid w:val="00420B56"/>
    <w:rsid w:val="00421244"/>
    <w:rsid w:val="00422268"/>
    <w:rsid w:val="004226F7"/>
    <w:rsid w:val="00422D60"/>
    <w:rsid w:val="00423466"/>
    <w:rsid w:val="0042390E"/>
    <w:rsid w:val="00427C0F"/>
    <w:rsid w:val="0043018D"/>
    <w:rsid w:val="00432AB3"/>
    <w:rsid w:val="004353FC"/>
    <w:rsid w:val="00435D70"/>
    <w:rsid w:val="00436468"/>
    <w:rsid w:val="00436EC2"/>
    <w:rsid w:val="004370F0"/>
    <w:rsid w:val="00437710"/>
    <w:rsid w:val="0043798D"/>
    <w:rsid w:val="00437F33"/>
    <w:rsid w:val="004408D0"/>
    <w:rsid w:val="00442339"/>
    <w:rsid w:val="00442E57"/>
    <w:rsid w:val="00442F74"/>
    <w:rsid w:val="004446E0"/>
    <w:rsid w:val="00444B2E"/>
    <w:rsid w:val="004450B5"/>
    <w:rsid w:val="004457ED"/>
    <w:rsid w:val="00446BAE"/>
    <w:rsid w:val="00451013"/>
    <w:rsid w:val="004516DF"/>
    <w:rsid w:val="00451971"/>
    <w:rsid w:val="00452725"/>
    <w:rsid w:val="00452B22"/>
    <w:rsid w:val="004537B1"/>
    <w:rsid w:val="00453E5C"/>
    <w:rsid w:val="00454299"/>
    <w:rsid w:val="00455E27"/>
    <w:rsid w:val="0045657A"/>
    <w:rsid w:val="00456F0E"/>
    <w:rsid w:val="004572AE"/>
    <w:rsid w:val="00457CB6"/>
    <w:rsid w:val="00457E08"/>
    <w:rsid w:val="00461DD4"/>
    <w:rsid w:val="00461E5A"/>
    <w:rsid w:val="00462222"/>
    <w:rsid w:val="0046315F"/>
    <w:rsid w:val="00463C80"/>
    <w:rsid w:val="00466550"/>
    <w:rsid w:val="004675E4"/>
    <w:rsid w:val="00471251"/>
    <w:rsid w:val="00472D88"/>
    <w:rsid w:val="0047307F"/>
    <w:rsid w:val="0047475F"/>
    <w:rsid w:val="004749CF"/>
    <w:rsid w:val="00474BF4"/>
    <w:rsid w:val="00475A4E"/>
    <w:rsid w:val="00476617"/>
    <w:rsid w:val="00476BB7"/>
    <w:rsid w:val="004803F2"/>
    <w:rsid w:val="0048041D"/>
    <w:rsid w:val="004808E5"/>
    <w:rsid w:val="00480D68"/>
    <w:rsid w:val="0048201A"/>
    <w:rsid w:val="00482050"/>
    <w:rsid w:val="00482061"/>
    <w:rsid w:val="004836B2"/>
    <w:rsid w:val="00483758"/>
    <w:rsid w:val="00483FAA"/>
    <w:rsid w:val="00485D7A"/>
    <w:rsid w:val="00485E57"/>
    <w:rsid w:val="004879B9"/>
    <w:rsid w:val="00487A10"/>
    <w:rsid w:val="00490FF6"/>
    <w:rsid w:val="00491207"/>
    <w:rsid w:val="0049221D"/>
    <w:rsid w:val="0049256C"/>
    <w:rsid w:val="00492E6B"/>
    <w:rsid w:val="004960D6"/>
    <w:rsid w:val="00496696"/>
    <w:rsid w:val="0049732B"/>
    <w:rsid w:val="004A02F2"/>
    <w:rsid w:val="004A0A28"/>
    <w:rsid w:val="004A12FA"/>
    <w:rsid w:val="004A13E8"/>
    <w:rsid w:val="004A17FC"/>
    <w:rsid w:val="004A2488"/>
    <w:rsid w:val="004A2704"/>
    <w:rsid w:val="004A2AF9"/>
    <w:rsid w:val="004A3187"/>
    <w:rsid w:val="004A4122"/>
    <w:rsid w:val="004A5168"/>
    <w:rsid w:val="004A533C"/>
    <w:rsid w:val="004A5D12"/>
    <w:rsid w:val="004A5FFB"/>
    <w:rsid w:val="004A6326"/>
    <w:rsid w:val="004A6B19"/>
    <w:rsid w:val="004A75DB"/>
    <w:rsid w:val="004A7C6E"/>
    <w:rsid w:val="004B0A1C"/>
    <w:rsid w:val="004B2CF9"/>
    <w:rsid w:val="004B3299"/>
    <w:rsid w:val="004B4FC6"/>
    <w:rsid w:val="004B6960"/>
    <w:rsid w:val="004C0495"/>
    <w:rsid w:val="004C1842"/>
    <w:rsid w:val="004C3CB9"/>
    <w:rsid w:val="004C554D"/>
    <w:rsid w:val="004C59C9"/>
    <w:rsid w:val="004C6E8F"/>
    <w:rsid w:val="004C74F8"/>
    <w:rsid w:val="004D048D"/>
    <w:rsid w:val="004D0A99"/>
    <w:rsid w:val="004D3E1F"/>
    <w:rsid w:val="004D5598"/>
    <w:rsid w:val="004D5CF6"/>
    <w:rsid w:val="004D6877"/>
    <w:rsid w:val="004D71D4"/>
    <w:rsid w:val="004D74C7"/>
    <w:rsid w:val="004E0444"/>
    <w:rsid w:val="004E0902"/>
    <w:rsid w:val="004E0914"/>
    <w:rsid w:val="004E0CC0"/>
    <w:rsid w:val="004E1DAF"/>
    <w:rsid w:val="004E451A"/>
    <w:rsid w:val="004E4899"/>
    <w:rsid w:val="004E48CC"/>
    <w:rsid w:val="004E4966"/>
    <w:rsid w:val="004E4AE3"/>
    <w:rsid w:val="004E5246"/>
    <w:rsid w:val="004E578F"/>
    <w:rsid w:val="004E5B21"/>
    <w:rsid w:val="004E5D8B"/>
    <w:rsid w:val="004F09A5"/>
    <w:rsid w:val="004F10A9"/>
    <w:rsid w:val="004F17AD"/>
    <w:rsid w:val="004F2658"/>
    <w:rsid w:val="004F38E2"/>
    <w:rsid w:val="004F4A23"/>
    <w:rsid w:val="004F5EBB"/>
    <w:rsid w:val="004F696D"/>
    <w:rsid w:val="004F730C"/>
    <w:rsid w:val="004F743A"/>
    <w:rsid w:val="004F7D66"/>
    <w:rsid w:val="004F7F16"/>
    <w:rsid w:val="00500976"/>
    <w:rsid w:val="005011C4"/>
    <w:rsid w:val="00502072"/>
    <w:rsid w:val="00502B81"/>
    <w:rsid w:val="005037B9"/>
    <w:rsid w:val="005037ED"/>
    <w:rsid w:val="00503AC7"/>
    <w:rsid w:val="00503B52"/>
    <w:rsid w:val="00504689"/>
    <w:rsid w:val="00505BB7"/>
    <w:rsid w:val="00506878"/>
    <w:rsid w:val="00506937"/>
    <w:rsid w:val="0050704F"/>
    <w:rsid w:val="00510A1A"/>
    <w:rsid w:val="00512642"/>
    <w:rsid w:val="00514BC3"/>
    <w:rsid w:val="00514EAB"/>
    <w:rsid w:val="00515F9F"/>
    <w:rsid w:val="00516686"/>
    <w:rsid w:val="00516EEB"/>
    <w:rsid w:val="005173B8"/>
    <w:rsid w:val="0052017C"/>
    <w:rsid w:val="005215D9"/>
    <w:rsid w:val="00524A28"/>
    <w:rsid w:val="0052580C"/>
    <w:rsid w:val="00525944"/>
    <w:rsid w:val="00525ED2"/>
    <w:rsid w:val="00526521"/>
    <w:rsid w:val="00527639"/>
    <w:rsid w:val="00527B31"/>
    <w:rsid w:val="00530433"/>
    <w:rsid w:val="00530996"/>
    <w:rsid w:val="00531551"/>
    <w:rsid w:val="00531C38"/>
    <w:rsid w:val="00531EBB"/>
    <w:rsid w:val="005325FE"/>
    <w:rsid w:val="00532BAD"/>
    <w:rsid w:val="00532D1B"/>
    <w:rsid w:val="00532D66"/>
    <w:rsid w:val="0053380F"/>
    <w:rsid w:val="00534D1E"/>
    <w:rsid w:val="0053678B"/>
    <w:rsid w:val="00536ECA"/>
    <w:rsid w:val="0054015B"/>
    <w:rsid w:val="005410D2"/>
    <w:rsid w:val="00542633"/>
    <w:rsid w:val="005429FB"/>
    <w:rsid w:val="00543509"/>
    <w:rsid w:val="00543AB2"/>
    <w:rsid w:val="00543C8A"/>
    <w:rsid w:val="0054421C"/>
    <w:rsid w:val="005465A9"/>
    <w:rsid w:val="00550A90"/>
    <w:rsid w:val="00551843"/>
    <w:rsid w:val="005519CD"/>
    <w:rsid w:val="005524C2"/>
    <w:rsid w:val="00552DC3"/>
    <w:rsid w:val="00552DCC"/>
    <w:rsid w:val="0055363E"/>
    <w:rsid w:val="0055472D"/>
    <w:rsid w:val="005552A0"/>
    <w:rsid w:val="005567FD"/>
    <w:rsid w:val="00556AF6"/>
    <w:rsid w:val="00561105"/>
    <w:rsid w:val="005612E2"/>
    <w:rsid w:val="00563EA7"/>
    <w:rsid w:val="005641E5"/>
    <w:rsid w:val="005656AB"/>
    <w:rsid w:val="0056597B"/>
    <w:rsid w:val="0056656A"/>
    <w:rsid w:val="00567312"/>
    <w:rsid w:val="00572693"/>
    <w:rsid w:val="00572FD1"/>
    <w:rsid w:val="00573463"/>
    <w:rsid w:val="00573F6A"/>
    <w:rsid w:val="00574B34"/>
    <w:rsid w:val="005761FB"/>
    <w:rsid w:val="0057639F"/>
    <w:rsid w:val="005802DC"/>
    <w:rsid w:val="005861EF"/>
    <w:rsid w:val="00586326"/>
    <w:rsid w:val="00586D1E"/>
    <w:rsid w:val="005905F5"/>
    <w:rsid w:val="00590BF8"/>
    <w:rsid w:val="00590BFD"/>
    <w:rsid w:val="00591326"/>
    <w:rsid w:val="005918FC"/>
    <w:rsid w:val="00591D3A"/>
    <w:rsid w:val="00592D19"/>
    <w:rsid w:val="00592DF7"/>
    <w:rsid w:val="0059391F"/>
    <w:rsid w:val="0059394F"/>
    <w:rsid w:val="00594A46"/>
    <w:rsid w:val="00594ABC"/>
    <w:rsid w:val="00595910"/>
    <w:rsid w:val="00595932"/>
    <w:rsid w:val="00595A59"/>
    <w:rsid w:val="00595AE4"/>
    <w:rsid w:val="00595FB2"/>
    <w:rsid w:val="00596192"/>
    <w:rsid w:val="00596CCC"/>
    <w:rsid w:val="005977BB"/>
    <w:rsid w:val="005A1690"/>
    <w:rsid w:val="005A1C22"/>
    <w:rsid w:val="005A2020"/>
    <w:rsid w:val="005A2118"/>
    <w:rsid w:val="005A232A"/>
    <w:rsid w:val="005A37FC"/>
    <w:rsid w:val="005A3F8E"/>
    <w:rsid w:val="005A4447"/>
    <w:rsid w:val="005A496B"/>
    <w:rsid w:val="005A49B1"/>
    <w:rsid w:val="005A4A31"/>
    <w:rsid w:val="005A5A25"/>
    <w:rsid w:val="005A5C53"/>
    <w:rsid w:val="005A62AA"/>
    <w:rsid w:val="005A6364"/>
    <w:rsid w:val="005A687F"/>
    <w:rsid w:val="005B0804"/>
    <w:rsid w:val="005B15B9"/>
    <w:rsid w:val="005B21E0"/>
    <w:rsid w:val="005B2D98"/>
    <w:rsid w:val="005B411C"/>
    <w:rsid w:val="005B4EC1"/>
    <w:rsid w:val="005B5541"/>
    <w:rsid w:val="005B5547"/>
    <w:rsid w:val="005B6677"/>
    <w:rsid w:val="005B6688"/>
    <w:rsid w:val="005B70F7"/>
    <w:rsid w:val="005B78F1"/>
    <w:rsid w:val="005C1D36"/>
    <w:rsid w:val="005C2F72"/>
    <w:rsid w:val="005C3BA6"/>
    <w:rsid w:val="005C4C0E"/>
    <w:rsid w:val="005C64F2"/>
    <w:rsid w:val="005C738E"/>
    <w:rsid w:val="005C754A"/>
    <w:rsid w:val="005D3266"/>
    <w:rsid w:val="005D3753"/>
    <w:rsid w:val="005D376C"/>
    <w:rsid w:val="005D3D8E"/>
    <w:rsid w:val="005D3ECB"/>
    <w:rsid w:val="005D5757"/>
    <w:rsid w:val="005D5954"/>
    <w:rsid w:val="005D744B"/>
    <w:rsid w:val="005E060C"/>
    <w:rsid w:val="005E25D6"/>
    <w:rsid w:val="005E2763"/>
    <w:rsid w:val="005E2809"/>
    <w:rsid w:val="005E31ED"/>
    <w:rsid w:val="005E3665"/>
    <w:rsid w:val="005E6552"/>
    <w:rsid w:val="005E68C2"/>
    <w:rsid w:val="005E6C38"/>
    <w:rsid w:val="005E7140"/>
    <w:rsid w:val="005E7AF9"/>
    <w:rsid w:val="005F0773"/>
    <w:rsid w:val="005F0DA0"/>
    <w:rsid w:val="005F171F"/>
    <w:rsid w:val="005F32DF"/>
    <w:rsid w:val="005F411F"/>
    <w:rsid w:val="005F5A05"/>
    <w:rsid w:val="005F61F5"/>
    <w:rsid w:val="005F6FF0"/>
    <w:rsid w:val="005F7453"/>
    <w:rsid w:val="005F78ED"/>
    <w:rsid w:val="005F7EB1"/>
    <w:rsid w:val="005F7F2F"/>
    <w:rsid w:val="00600517"/>
    <w:rsid w:val="00600ACC"/>
    <w:rsid w:val="00601CEC"/>
    <w:rsid w:val="00601E08"/>
    <w:rsid w:val="00602C14"/>
    <w:rsid w:val="00604AC5"/>
    <w:rsid w:val="00605494"/>
    <w:rsid w:val="0060604C"/>
    <w:rsid w:val="006062B2"/>
    <w:rsid w:val="006062F1"/>
    <w:rsid w:val="00606E13"/>
    <w:rsid w:val="00610398"/>
    <w:rsid w:val="006106C1"/>
    <w:rsid w:val="00610BA0"/>
    <w:rsid w:val="00611207"/>
    <w:rsid w:val="006130A2"/>
    <w:rsid w:val="00613300"/>
    <w:rsid w:val="00615039"/>
    <w:rsid w:val="006153DA"/>
    <w:rsid w:val="00617EAD"/>
    <w:rsid w:val="00621438"/>
    <w:rsid w:val="00621A04"/>
    <w:rsid w:val="0062214F"/>
    <w:rsid w:val="006222F8"/>
    <w:rsid w:val="00622846"/>
    <w:rsid w:val="006228EC"/>
    <w:rsid w:val="00623159"/>
    <w:rsid w:val="006240A0"/>
    <w:rsid w:val="0062427B"/>
    <w:rsid w:val="00625884"/>
    <w:rsid w:val="00625E58"/>
    <w:rsid w:val="0062640B"/>
    <w:rsid w:val="006272EB"/>
    <w:rsid w:val="0062730D"/>
    <w:rsid w:val="00627722"/>
    <w:rsid w:val="00627DE2"/>
    <w:rsid w:val="00630EE7"/>
    <w:rsid w:val="00634141"/>
    <w:rsid w:val="00634989"/>
    <w:rsid w:val="00634A46"/>
    <w:rsid w:val="006365F3"/>
    <w:rsid w:val="00641247"/>
    <w:rsid w:val="006418DC"/>
    <w:rsid w:val="00642E8B"/>
    <w:rsid w:val="006448BA"/>
    <w:rsid w:val="00644EE0"/>
    <w:rsid w:val="0064524D"/>
    <w:rsid w:val="00645F21"/>
    <w:rsid w:val="00646776"/>
    <w:rsid w:val="006471BE"/>
    <w:rsid w:val="006473DB"/>
    <w:rsid w:val="0065143E"/>
    <w:rsid w:val="00654311"/>
    <w:rsid w:val="006543C5"/>
    <w:rsid w:val="00655E0E"/>
    <w:rsid w:val="006608B2"/>
    <w:rsid w:val="00662657"/>
    <w:rsid w:val="00662B06"/>
    <w:rsid w:val="00663BD3"/>
    <w:rsid w:val="00663DF3"/>
    <w:rsid w:val="00665362"/>
    <w:rsid w:val="0066678A"/>
    <w:rsid w:val="006668B2"/>
    <w:rsid w:val="00666E87"/>
    <w:rsid w:val="00667CBD"/>
    <w:rsid w:val="006714A6"/>
    <w:rsid w:val="006725B6"/>
    <w:rsid w:val="00672624"/>
    <w:rsid w:val="006727E3"/>
    <w:rsid w:val="00672F52"/>
    <w:rsid w:val="00672F60"/>
    <w:rsid w:val="0067582D"/>
    <w:rsid w:val="00676010"/>
    <w:rsid w:val="00676729"/>
    <w:rsid w:val="00677A29"/>
    <w:rsid w:val="00677E72"/>
    <w:rsid w:val="00677F95"/>
    <w:rsid w:val="00681801"/>
    <w:rsid w:val="00682132"/>
    <w:rsid w:val="00682660"/>
    <w:rsid w:val="00682E92"/>
    <w:rsid w:val="00683404"/>
    <w:rsid w:val="00683C6D"/>
    <w:rsid w:val="0068412B"/>
    <w:rsid w:val="006843B6"/>
    <w:rsid w:val="00686655"/>
    <w:rsid w:val="00687E2E"/>
    <w:rsid w:val="006903F3"/>
    <w:rsid w:val="0069104F"/>
    <w:rsid w:val="00691E11"/>
    <w:rsid w:val="00694D82"/>
    <w:rsid w:val="0069585B"/>
    <w:rsid w:val="00695F00"/>
    <w:rsid w:val="00695FF3"/>
    <w:rsid w:val="0069679F"/>
    <w:rsid w:val="006978F4"/>
    <w:rsid w:val="006A0C47"/>
    <w:rsid w:val="006A1957"/>
    <w:rsid w:val="006A2D32"/>
    <w:rsid w:val="006A3104"/>
    <w:rsid w:val="006A60C0"/>
    <w:rsid w:val="006A6A9D"/>
    <w:rsid w:val="006B0D4C"/>
    <w:rsid w:val="006B16D7"/>
    <w:rsid w:val="006B3045"/>
    <w:rsid w:val="006B4436"/>
    <w:rsid w:val="006B45A6"/>
    <w:rsid w:val="006B49A2"/>
    <w:rsid w:val="006B49F6"/>
    <w:rsid w:val="006B4C3E"/>
    <w:rsid w:val="006B6D0D"/>
    <w:rsid w:val="006B7C71"/>
    <w:rsid w:val="006C0A5D"/>
    <w:rsid w:val="006C0C76"/>
    <w:rsid w:val="006C1C38"/>
    <w:rsid w:val="006C1FD5"/>
    <w:rsid w:val="006C296F"/>
    <w:rsid w:val="006C2995"/>
    <w:rsid w:val="006C2ACD"/>
    <w:rsid w:val="006C2C6D"/>
    <w:rsid w:val="006C2D15"/>
    <w:rsid w:val="006C4CB4"/>
    <w:rsid w:val="006C73CC"/>
    <w:rsid w:val="006C7885"/>
    <w:rsid w:val="006C7BEB"/>
    <w:rsid w:val="006C7D39"/>
    <w:rsid w:val="006D023B"/>
    <w:rsid w:val="006D1AF8"/>
    <w:rsid w:val="006D23D8"/>
    <w:rsid w:val="006D427F"/>
    <w:rsid w:val="006D44C0"/>
    <w:rsid w:val="006D5049"/>
    <w:rsid w:val="006D5EB7"/>
    <w:rsid w:val="006D5F8C"/>
    <w:rsid w:val="006D7BFD"/>
    <w:rsid w:val="006E0631"/>
    <w:rsid w:val="006E0CD4"/>
    <w:rsid w:val="006E0FA4"/>
    <w:rsid w:val="006E0FA5"/>
    <w:rsid w:val="006E13D1"/>
    <w:rsid w:val="006E14C1"/>
    <w:rsid w:val="006E1B01"/>
    <w:rsid w:val="006E2163"/>
    <w:rsid w:val="006E21FA"/>
    <w:rsid w:val="006E2F8F"/>
    <w:rsid w:val="006E39BE"/>
    <w:rsid w:val="006E4B3B"/>
    <w:rsid w:val="006E5020"/>
    <w:rsid w:val="006E6900"/>
    <w:rsid w:val="006E6CD8"/>
    <w:rsid w:val="006E739B"/>
    <w:rsid w:val="006F18C2"/>
    <w:rsid w:val="006F21B7"/>
    <w:rsid w:val="006F3E39"/>
    <w:rsid w:val="006F4605"/>
    <w:rsid w:val="006F46AC"/>
    <w:rsid w:val="006F586B"/>
    <w:rsid w:val="006F6A5B"/>
    <w:rsid w:val="006F6B61"/>
    <w:rsid w:val="007004BA"/>
    <w:rsid w:val="007004D1"/>
    <w:rsid w:val="0070069E"/>
    <w:rsid w:val="00701027"/>
    <w:rsid w:val="007025A6"/>
    <w:rsid w:val="007025EC"/>
    <w:rsid w:val="00703722"/>
    <w:rsid w:val="007038CD"/>
    <w:rsid w:val="007042F3"/>
    <w:rsid w:val="00704363"/>
    <w:rsid w:val="00704639"/>
    <w:rsid w:val="00704D51"/>
    <w:rsid w:val="00705B4B"/>
    <w:rsid w:val="0070629B"/>
    <w:rsid w:val="00706B1E"/>
    <w:rsid w:val="0071169E"/>
    <w:rsid w:val="0071178D"/>
    <w:rsid w:val="007126EF"/>
    <w:rsid w:val="0071299C"/>
    <w:rsid w:val="007129C0"/>
    <w:rsid w:val="00713861"/>
    <w:rsid w:val="00713C85"/>
    <w:rsid w:val="00713EEA"/>
    <w:rsid w:val="00713F43"/>
    <w:rsid w:val="00713FC0"/>
    <w:rsid w:val="00715168"/>
    <w:rsid w:val="007156B9"/>
    <w:rsid w:val="007163DD"/>
    <w:rsid w:val="007171EC"/>
    <w:rsid w:val="00717D1F"/>
    <w:rsid w:val="00720325"/>
    <w:rsid w:val="00720BF6"/>
    <w:rsid w:val="00721273"/>
    <w:rsid w:val="007212F6"/>
    <w:rsid w:val="00721947"/>
    <w:rsid w:val="00721A16"/>
    <w:rsid w:val="00722543"/>
    <w:rsid w:val="0072267F"/>
    <w:rsid w:val="00722EC8"/>
    <w:rsid w:val="00723A4F"/>
    <w:rsid w:val="007248AF"/>
    <w:rsid w:val="0072570F"/>
    <w:rsid w:val="007257B5"/>
    <w:rsid w:val="00725AEF"/>
    <w:rsid w:val="007260D4"/>
    <w:rsid w:val="0072637E"/>
    <w:rsid w:val="00727699"/>
    <w:rsid w:val="00730034"/>
    <w:rsid w:val="007324D5"/>
    <w:rsid w:val="007325C8"/>
    <w:rsid w:val="007341B3"/>
    <w:rsid w:val="00735AB0"/>
    <w:rsid w:val="00735DCB"/>
    <w:rsid w:val="00736AD5"/>
    <w:rsid w:val="00736F12"/>
    <w:rsid w:val="0073714F"/>
    <w:rsid w:val="00740D13"/>
    <w:rsid w:val="00742FA8"/>
    <w:rsid w:val="007446E5"/>
    <w:rsid w:val="007452C2"/>
    <w:rsid w:val="0074669A"/>
    <w:rsid w:val="0074687D"/>
    <w:rsid w:val="00746B38"/>
    <w:rsid w:val="007474C0"/>
    <w:rsid w:val="00747546"/>
    <w:rsid w:val="00747839"/>
    <w:rsid w:val="00747E10"/>
    <w:rsid w:val="007509BA"/>
    <w:rsid w:val="00751679"/>
    <w:rsid w:val="0075222C"/>
    <w:rsid w:val="007526EF"/>
    <w:rsid w:val="00752823"/>
    <w:rsid w:val="0075380A"/>
    <w:rsid w:val="00755786"/>
    <w:rsid w:val="00755E87"/>
    <w:rsid w:val="0075673B"/>
    <w:rsid w:val="00757805"/>
    <w:rsid w:val="00760538"/>
    <w:rsid w:val="007623F4"/>
    <w:rsid w:val="00762E4C"/>
    <w:rsid w:val="007638E2"/>
    <w:rsid w:val="00764D65"/>
    <w:rsid w:val="00765295"/>
    <w:rsid w:val="007656E0"/>
    <w:rsid w:val="007664E4"/>
    <w:rsid w:val="00766573"/>
    <w:rsid w:val="00767106"/>
    <w:rsid w:val="00767D4A"/>
    <w:rsid w:val="00770DED"/>
    <w:rsid w:val="007714A6"/>
    <w:rsid w:val="007719CB"/>
    <w:rsid w:val="00772410"/>
    <w:rsid w:val="007735D0"/>
    <w:rsid w:val="0077407C"/>
    <w:rsid w:val="00774604"/>
    <w:rsid w:val="00775CB5"/>
    <w:rsid w:val="00775E06"/>
    <w:rsid w:val="0077678D"/>
    <w:rsid w:val="00777140"/>
    <w:rsid w:val="007774B7"/>
    <w:rsid w:val="00780EB2"/>
    <w:rsid w:val="00781E4C"/>
    <w:rsid w:val="007830C0"/>
    <w:rsid w:val="00783F72"/>
    <w:rsid w:val="00785D34"/>
    <w:rsid w:val="00785D37"/>
    <w:rsid w:val="00791B03"/>
    <w:rsid w:val="00794537"/>
    <w:rsid w:val="00794785"/>
    <w:rsid w:val="00794BC8"/>
    <w:rsid w:val="00794C34"/>
    <w:rsid w:val="00795AD6"/>
    <w:rsid w:val="00796BBD"/>
    <w:rsid w:val="007A0337"/>
    <w:rsid w:val="007A0AC7"/>
    <w:rsid w:val="007A2266"/>
    <w:rsid w:val="007A24F4"/>
    <w:rsid w:val="007A2651"/>
    <w:rsid w:val="007A3136"/>
    <w:rsid w:val="007A3A48"/>
    <w:rsid w:val="007A4471"/>
    <w:rsid w:val="007A52E1"/>
    <w:rsid w:val="007A62AB"/>
    <w:rsid w:val="007A66BD"/>
    <w:rsid w:val="007A69AF"/>
    <w:rsid w:val="007A7FD8"/>
    <w:rsid w:val="007B114D"/>
    <w:rsid w:val="007B179B"/>
    <w:rsid w:val="007B2E9B"/>
    <w:rsid w:val="007B3F01"/>
    <w:rsid w:val="007B442C"/>
    <w:rsid w:val="007B4595"/>
    <w:rsid w:val="007B52DD"/>
    <w:rsid w:val="007B546D"/>
    <w:rsid w:val="007B5495"/>
    <w:rsid w:val="007B66B5"/>
    <w:rsid w:val="007B7135"/>
    <w:rsid w:val="007B7923"/>
    <w:rsid w:val="007C0965"/>
    <w:rsid w:val="007C1854"/>
    <w:rsid w:val="007C1C1A"/>
    <w:rsid w:val="007C2AAB"/>
    <w:rsid w:val="007C2FD2"/>
    <w:rsid w:val="007C3560"/>
    <w:rsid w:val="007C3A2B"/>
    <w:rsid w:val="007C420A"/>
    <w:rsid w:val="007C587A"/>
    <w:rsid w:val="007C6084"/>
    <w:rsid w:val="007C6A82"/>
    <w:rsid w:val="007D0B7F"/>
    <w:rsid w:val="007D0F0A"/>
    <w:rsid w:val="007D0F19"/>
    <w:rsid w:val="007D1E99"/>
    <w:rsid w:val="007D2495"/>
    <w:rsid w:val="007D2D35"/>
    <w:rsid w:val="007D43A1"/>
    <w:rsid w:val="007D4860"/>
    <w:rsid w:val="007D4C7B"/>
    <w:rsid w:val="007D4E48"/>
    <w:rsid w:val="007D5EAC"/>
    <w:rsid w:val="007D64AE"/>
    <w:rsid w:val="007D66C5"/>
    <w:rsid w:val="007D6E3F"/>
    <w:rsid w:val="007D7332"/>
    <w:rsid w:val="007D7BF5"/>
    <w:rsid w:val="007E035A"/>
    <w:rsid w:val="007E198E"/>
    <w:rsid w:val="007E253D"/>
    <w:rsid w:val="007E2CC8"/>
    <w:rsid w:val="007E307F"/>
    <w:rsid w:val="007E392F"/>
    <w:rsid w:val="007E4086"/>
    <w:rsid w:val="007E5352"/>
    <w:rsid w:val="007E5F90"/>
    <w:rsid w:val="007E64BB"/>
    <w:rsid w:val="007E6D91"/>
    <w:rsid w:val="007E7DAF"/>
    <w:rsid w:val="007E7DF9"/>
    <w:rsid w:val="007F3DE1"/>
    <w:rsid w:val="007F5056"/>
    <w:rsid w:val="007F568C"/>
    <w:rsid w:val="007F586F"/>
    <w:rsid w:val="007F6293"/>
    <w:rsid w:val="007F7727"/>
    <w:rsid w:val="007F7B73"/>
    <w:rsid w:val="008013ED"/>
    <w:rsid w:val="0080146D"/>
    <w:rsid w:val="00802853"/>
    <w:rsid w:val="00804257"/>
    <w:rsid w:val="0080501D"/>
    <w:rsid w:val="00805C68"/>
    <w:rsid w:val="008063C7"/>
    <w:rsid w:val="00807043"/>
    <w:rsid w:val="008075CE"/>
    <w:rsid w:val="00811AC4"/>
    <w:rsid w:val="0081246B"/>
    <w:rsid w:val="00813999"/>
    <w:rsid w:val="008162C4"/>
    <w:rsid w:val="008171F3"/>
    <w:rsid w:val="0082155A"/>
    <w:rsid w:val="00821B7D"/>
    <w:rsid w:val="008223BB"/>
    <w:rsid w:val="008226C1"/>
    <w:rsid w:val="00822C6F"/>
    <w:rsid w:val="0082307C"/>
    <w:rsid w:val="00823DF7"/>
    <w:rsid w:val="00823E4B"/>
    <w:rsid w:val="00823F21"/>
    <w:rsid w:val="00824033"/>
    <w:rsid w:val="00826CA1"/>
    <w:rsid w:val="0082729C"/>
    <w:rsid w:val="00827B73"/>
    <w:rsid w:val="00827BED"/>
    <w:rsid w:val="00827C52"/>
    <w:rsid w:val="00827DC0"/>
    <w:rsid w:val="00827E52"/>
    <w:rsid w:val="008303AE"/>
    <w:rsid w:val="008315F0"/>
    <w:rsid w:val="008323D3"/>
    <w:rsid w:val="00832B85"/>
    <w:rsid w:val="00834348"/>
    <w:rsid w:val="00835424"/>
    <w:rsid w:val="00836287"/>
    <w:rsid w:val="00836424"/>
    <w:rsid w:val="00837F71"/>
    <w:rsid w:val="00841B10"/>
    <w:rsid w:val="00842E5C"/>
    <w:rsid w:val="00843C4F"/>
    <w:rsid w:val="008448F1"/>
    <w:rsid w:val="00845A01"/>
    <w:rsid w:val="00845BB8"/>
    <w:rsid w:val="00845D0C"/>
    <w:rsid w:val="0084621E"/>
    <w:rsid w:val="00846E48"/>
    <w:rsid w:val="008478E3"/>
    <w:rsid w:val="00847FC4"/>
    <w:rsid w:val="008503D6"/>
    <w:rsid w:val="008506F3"/>
    <w:rsid w:val="00851CAE"/>
    <w:rsid w:val="00851F07"/>
    <w:rsid w:val="008525AC"/>
    <w:rsid w:val="00852BD9"/>
    <w:rsid w:val="00854C77"/>
    <w:rsid w:val="00856492"/>
    <w:rsid w:val="00856947"/>
    <w:rsid w:val="00856E3D"/>
    <w:rsid w:val="0085718A"/>
    <w:rsid w:val="008617EE"/>
    <w:rsid w:val="00861A25"/>
    <w:rsid w:val="00861FB9"/>
    <w:rsid w:val="00862580"/>
    <w:rsid w:val="0086382F"/>
    <w:rsid w:val="00864AF3"/>
    <w:rsid w:val="00865CC6"/>
    <w:rsid w:val="008704CB"/>
    <w:rsid w:val="008713FE"/>
    <w:rsid w:val="008717B2"/>
    <w:rsid w:val="008720B5"/>
    <w:rsid w:val="00873672"/>
    <w:rsid w:val="008738B7"/>
    <w:rsid w:val="00874B6C"/>
    <w:rsid w:val="00874EF7"/>
    <w:rsid w:val="00875F05"/>
    <w:rsid w:val="00876CCE"/>
    <w:rsid w:val="00880B7D"/>
    <w:rsid w:val="008815ED"/>
    <w:rsid w:val="00881616"/>
    <w:rsid w:val="00882075"/>
    <w:rsid w:val="00885EEE"/>
    <w:rsid w:val="00886785"/>
    <w:rsid w:val="0088726E"/>
    <w:rsid w:val="00890904"/>
    <w:rsid w:val="00891782"/>
    <w:rsid w:val="00891C4F"/>
    <w:rsid w:val="0089268C"/>
    <w:rsid w:val="0089286D"/>
    <w:rsid w:val="00894B09"/>
    <w:rsid w:val="008973E0"/>
    <w:rsid w:val="0089747A"/>
    <w:rsid w:val="008A01BF"/>
    <w:rsid w:val="008A0760"/>
    <w:rsid w:val="008A1291"/>
    <w:rsid w:val="008A18AC"/>
    <w:rsid w:val="008A4297"/>
    <w:rsid w:val="008A441D"/>
    <w:rsid w:val="008A5670"/>
    <w:rsid w:val="008A676D"/>
    <w:rsid w:val="008A7314"/>
    <w:rsid w:val="008B1593"/>
    <w:rsid w:val="008B38F6"/>
    <w:rsid w:val="008B3CEE"/>
    <w:rsid w:val="008B52D2"/>
    <w:rsid w:val="008B743A"/>
    <w:rsid w:val="008C09E2"/>
    <w:rsid w:val="008C1827"/>
    <w:rsid w:val="008C1F59"/>
    <w:rsid w:val="008C22B3"/>
    <w:rsid w:val="008C26A1"/>
    <w:rsid w:val="008C3E0A"/>
    <w:rsid w:val="008C3FEB"/>
    <w:rsid w:val="008C64CC"/>
    <w:rsid w:val="008C675C"/>
    <w:rsid w:val="008C6C25"/>
    <w:rsid w:val="008C7AC1"/>
    <w:rsid w:val="008C7F80"/>
    <w:rsid w:val="008D22DC"/>
    <w:rsid w:val="008D3404"/>
    <w:rsid w:val="008D373A"/>
    <w:rsid w:val="008D4454"/>
    <w:rsid w:val="008D44C0"/>
    <w:rsid w:val="008D48D8"/>
    <w:rsid w:val="008D52BD"/>
    <w:rsid w:val="008D6370"/>
    <w:rsid w:val="008D6682"/>
    <w:rsid w:val="008E0033"/>
    <w:rsid w:val="008E1B3D"/>
    <w:rsid w:val="008E1DC3"/>
    <w:rsid w:val="008E21A1"/>
    <w:rsid w:val="008E2511"/>
    <w:rsid w:val="008E4088"/>
    <w:rsid w:val="008E47E0"/>
    <w:rsid w:val="008E4CC2"/>
    <w:rsid w:val="008E685D"/>
    <w:rsid w:val="008E6A24"/>
    <w:rsid w:val="008E6BDE"/>
    <w:rsid w:val="008E7022"/>
    <w:rsid w:val="008E7606"/>
    <w:rsid w:val="008F062D"/>
    <w:rsid w:val="008F0CAD"/>
    <w:rsid w:val="008F0E38"/>
    <w:rsid w:val="008F1CAB"/>
    <w:rsid w:val="008F3E5C"/>
    <w:rsid w:val="008F4173"/>
    <w:rsid w:val="008F44D6"/>
    <w:rsid w:val="008F4D84"/>
    <w:rsid w:val="008F5704"/>
    <w:rsid w:val="008F5DBC"/>
    <w:rsid w:val="00901E54"/>
    <w:rsid w:val="0090249E"/>
    <w:rsid w:val="00903496"/>
    <w:rsid w:val="0090349D"/>
    <w:rsid w:val="00903B88"/>
    <w:rsid w:val="00904B0B"/>
    <w:rsid w:val="009050CF"/>
    <w:rsid w:val="00905522"/>
    <w:rsid w:val="00906933"/>
    <w:rsid w:val="009079C6"/>
    <w:rsid w:val="009115A8"/>
    <w:rsid w:val="00911A1B"/>
    <w:rsid w:val="00912319"/>
    <w:rsid w:val="0091260C"/>
    <w:rsid w:val="009132A0"/>
    <w:rsid w:val="00914B28"/>
    <w:rsid w:val="00914CEC"/>
    <w:rsid w:val="00914EB7"/>
    <w:rsid w:val="0091503B"/>
    <w:rsid w:val="009155BF"/>
    <w:rsid w:val="00916848"/>
    <w:rsid w:val="009170CA"/>
    <w:rsid w:val="00917346"/>
    <w:rsid w:val="00917A5E"/>
    <w:rsid w:val="009210A3"/>
    <w:rsid w:val="00921141"/>
    <w:rsid w:val="009226C0"/>
    <w:rsid w:val="00922A5D"/>
    <w:rsid w:val="009232BF"/>
    <w:rsid w:val="00923DEE"/>
    <w:rsid w:val="0092433E"/>
    <w:rsid w:val="0092481C"/>
    <w:rsid w:val="00925DF8"/>
    <w:rsid w:val="00926EB7"/>
    <w:rsid w:val="00930A94"/>
    <w:rsid w:val="00930AF6"/>
    <w:rsid w:val="00930B4D"/>
    <w:rsid w:val="009311ED"/>
    <w:rsid w:val="00932760"/>
    <w:rsid w:val="00937485"/>
    <w:rsid w:val="00940498"/>
    <w:rsid w:val="0094116D"/>
    <w:rsid w:val="00941DF6"/>
    <w:rsid w:val="009434A6"/>
    <w:rsid w:val="00944385"/>
    <w:rsid w:val="00944E01"/>
    <w:rsid w:val="0094533E"/>
    <w:rsid w:val="009453E1"/>
    <w:rsid w:val="00945F52"/>
    <w:rsid w:val="00946A8D"/>
    <w:rsid w:val="009478EE"/>
    <w:rsid w:val="00947BB5"/>
    <w:rsid w:val="00947C31"/>
    <w:rsid w:val="00950AC7"/>
    <w:rsid w:val="00950E7F"/>
    <w:rsid w:val="00951B24"/>
    <w:rsid w:val="00953072"/>
    <w:rsid w:val="00953A5F"/>
    <w:rsid w:val="00955864"/>
    <w:rsid w:val="00962232"/>
    <w:rsid w:val="0096354A"/>
    <w:rsid w:val="0096380C"/>
    <w:rsid w:val="009645CC"/>
    <w:rsid w:val="00964833"/>
    <w:rsid w:val="00964A31"/>
    <w:rsid w:val="00964B06"/>
    <w:rsid w:val="00964CC7"/>
    <w:rsid w:val="009654C5"/>
    <w:rsid w:val="00967569"/>
    <w:rsid w:val="009677F4"/>
    <w:rsid w:val="00967FEC"/>
    <w:rsid w:val="009702CB"/>
    <w:rsid w:val="00971D65"/>
    <w:rsid w:val="00972ED9"/>
    <w:rsid w:val="009731E2"/>
    <w:rsid w:val="009737B1"/>
    <w:rsid w:val="00973B97"/>
    <w:rsid w:val="00974CA8"/>
    <w:rsid w:val="00976398"/>
    <w:rsid w:val="009774D9"/>
    <w:rsid w:val="00980174"/>
    <w:rsid w:val="00981973"/>
    <w:rsid w:val="009827D8"/>
    <w:rsid w:val="00982DEF"/>
    <w:rsid w:val="00983155"/>
    <w:rsid w:val="0098317D"/>
    <w:rsid w:val="009837D8"/>
    <w:rsid w:val="00985298"/>
    <w:rsid w:val="00987546"/>
    <w:rsid w:val="009906F7"/>
    <w:rsid w:val="00990F79"/>
    <w:rsid w:val="00992323"/>
    <w:rsid w:val="00993431"/>
    <w:rsid w:val="00993710"/>
    <w:rsid w:val="00993E7D"/>
    <w:rsid w:val="0099412D"/>
    <w:rsid w:val="00997413"/>
    <w:rsid w:val="00997A55"/>
    <w:rsid w:val="009A1039"/>
    <w:rsid w:val="009A23B0"/>
    <w:rsid w:val="009A2BB6"/>
    <w:rsid w:val="009A3370"/>
    <w:rsid w:val="009A3DC0"/>
    <w:rsid w:val="009A55F7"/>
    <w:rsid w:val="009B02AD"/>
    <w:rsid w:val="009B084D"/>
    <w:rsid w:val="009B145D"/>
    <w:rsid w:val="009B2EF1"/>
    <w:rsid w:val="009B4170"/>
    <w:rsid w:val="009B4863"/>
    <w:rsid w:val="009B7B3E"/>
    <w:rsid w:val="009B7F76"/>
    <w:rsid w:val="009C214E"/>
    <w:rsid w:val="009C2524"/>
    <w:rsid w:val="009C67F1"/>
    <w:rsid w:val="009C68CF"/>
    <w:rsid w:val="009C7015"/>
    <w:rsid w:val="009D04C8"/>
    <w:rsid w:val="009D17E8"/>
    <w:rsid w:val="009D2617"/>
    <w:rsid w:val="009D27BD"/>
    <w:rsid w:val="009D2BF7"/>
    <w:rsid w:val="009D3784"/>
    <w:rsid w:val="009D3894"/>
    <w:rsid w:val="009D79FD"/>
    <w:rsid w:val="009D7EDE"/>
    <w:rsid w:val="009E0F63"/>
    <w:rsid w:val="009E1A95"/>
    <w:rsid w:val="009E3265"/>
    <w:rsid w:val="009E36E2"/>
    <w:rsid w:val="009E3902"/>
    <w:rsid w:val="009E3982"/>
    <w:rsid w:val="009E5478"/>
    <w:rsid w:val="009E55F1"/>
    <w:rsid w:val="009E5EED"/>
    <w:rsid w:val="009E6370"/>
    <w:rsid w:val="009E6414"/>
    <w:rsid w:val="009E75DE"/>
    <w:rsid w:val="009F08EE"/>
    <w:rsid w:val="009F1135"/>
    <w:rsid w:val="009F2D6D"/>
    <w:rsid w:val="00A0529B"/>
    <w:rsid w:val="00A05E1F"/>
    <w:rsid w:val="00A06497"/>
    <w:rsid w:val="00A06CCF"/>
    <w:rsid w:val="00A0724C"/>
    <w:rsid w:val="00A073CD"/>
    <w:rsid w:val="00A07B48"/>
    <w:rsid w:val="00A102FF"/>
    <w:rsid w:val="00A1082F"/>
    <w:rsid w:val="00A11320"/>
    <w:rsid w:val="00A1256B"/>
    <w:rsid w:val="00A12682"/>
    <w:rsid w:val="00A128B1"/>
    <w:rsid w:val="00A128F1"/>
    <w:rsid w:val="00A1376F"/>
    <w:rsid w:val="00A13F3F"/>
    <w:rsid w:val="00A140A0"/>
    <w:rsid w:val="00A1412E"/>
    <w:rsid w:val="00A1458D"/>
    <w:rsid w:val="00A148DC"/>
    <w:rsid w:val="00A15A49"/>
    <w:rsid w:val="00A15C0D"/>
    <w:rsid w:val="00A165B7"/>
    <w:rsid w:val="00A170DB"/>
    <w:rsid w:val="00A17652"/>
    <w:rsid w:val="00A2020B"/>
    <w:rsid w:val="00A20F99"/>
    <w:rsid w:val="00A21916"/>
    <w:rsid w:val="00A22252"/>
    <w:rsid w:val="00A22553"/>
    <w:rsid w:val="00A22EED"/>
    <w:rsid w:val="00A24F4D"/>
    <w:rsid w:val="00A253A5"/>
    <w:rsid w:val="00A2549A"/>
    <w:rsid w:val="00A278AD"/>
    <w:rsid w:val="00A30AC4"/>
    <w:rsid w:val="00A313B0"/>
    <w:rsid w:val="00A3288E"/>
    <w:rsid w:val="00A32987"/>
    <w:rsid w:val="00A33AB1"/>
    <w:rsid w:val="00A33FFB"/>
    <w:rsid w:val="00A34CA0"/>
    <w:rsid w:val="00A357D2"/>
    <w:rsid w:val="00A36606"/>
    <w:rsid w:val="00A40530"/>
    <w:rsid w:val="00A409ED"/>
    <w:rsid w:val="00A40CBC"/>
    <w:rsid w:val="00A41C9E"/>
    <w:rsid w:val="00A4227E"/>
    <w:rsid w:val="00A42657"/>
    <w:rsid w:val="00A426A9"/>
    <w:rsid w:val="00A42F93"/>
    <w:rsid w:val="00A45E26"/>
    <w:rsid w:val="00A47B60"/>
    <w:rsid w:val="00A47BC9"/>
    <w:rsid w:val="00A5010C"/>
    <w:rsid w:val="00A505F1"/>
    <w:rsid w:val="00A512A7"/>
    <w:rsid w:val="00A54A40"/>
    <w:rsid w:val="00A54EF7"/>
    <w:rsid w:val="00A55212"/>
    <w:rsid w:val="00A556AD"/>
    <w:rsid w:val="00A55788"/>
    <w:rsid w:val="00A56CF8"/>
    <w:rsid w:val="00A57E43"/>
    <w:rsid w:val="00A602CD"/>
    <w:rsid w:val="00A60C00"/>
    <w:rsid w:val="00A62EA4"/>
    <w:rsid w:val="00A63553"/>
    <w:rsid w:val="00A63919"/>
    <w:rsid w:val="00A63AE6"/>
    <w:rsid w:val="00A644E3"/>
    <w:rsid w:val="00A6475A"/>
    <w:rsid w:val="00A6732D"/>
    <w:rsid w:val="00A71A4D"/>
    <w:rsid w:val="00A77086"/>
    <w:rsid w:val="00A77A2B"/>
    <w:rsid w:val="00A80192"/>
    <w:rsid w:val="00A805B4"/>
    <w:rsid w:val="00A80C20"/>
    <w:rsid w:val="00A81F95"/>
    <w:rsid w:val="00A845C8"/>
    <w:rsid w:val="00A84972"/>
    <w:rsid w:val="00A84AEC"/>
    <w:rsid w:val="00A86A6F"/>
    <w:rsid w:val="00A86B1B"/>
    <w:rsid w:val="00A87F55"/>
    <w:rsid w:val="00A91D67"/>
    <w:rsid w:val="00A91DD1"/>
    <w:rsid w:val="00A9270F"/>
    <w:rsid w:val="00A93736"/>
    <w:rsid w:val="00A93935"/>
    <w:rsid w:val="00A94DBD"/>
    <w:rsid w:val="00A95004"/>
    <w:rsid w:val="00A951E2"/>
    <w:rsid w:val="00A95709"/>
    <w:rsid w:val="00A96298"/>
    <w:rsid w:val="00A968D0"/>
    <w:rsid w:val="00A972CD"/>
    <w:rsid w:val="00A97B85"/>
    <w:rsid w:val="00A97CB0"/>
    <w:rsid w:val="00A97E0E"/>
    <w:rsid w:val="00AA0405"/>
    <w:rsid w:val="00AA0983"/>
    <w:rsid w:val="00AA1967"/>
    <w:rsid w:val="00AA23AE"/>
    <w:rsid w:val="00AA2913"/>
    <w:rsid w:val="00AA33D0"/>
    <w:rsid w:val="00AA34E3"/>
    <w:rsid w:val="00AA4523"/>
    <w:rsid w:val="00AA4568"/>
    <w:rsid w:val="00AA4A12"/>
    <w:rsid w:val="00AA6058"/>
    <w:rsid w:val="00AA62A9"/>
    <w:rsid w:val="00AA6562"/>
    <w:rsid w:val="00AA67F8"/>
    <w:rsid w:val="00AA6F71"/>
    <w:rsid w:val="00AA70A0"/>
    <w:rsid w:val="00AA7222"/>
    <w:rsid w:val="00AB1045"/>
    <w:rsid w:val="00AB26E7"/>
    <w:rsid w:val="00AB2D6A"/>
    <w:rsid w:val="00AB32EB"/>
    <w:rsid w:val="00AB4877"/>
    <w:rsid w:val="00AB48EE"/>
    <w:rsid w:val="00AB6D0D"/>
    <w:rsid w:val="00AB715F"/>
    <w:rsid w:val="00AC1379"/>
    <w:rsid w:val="00AC163B"/>
    <w:rsid w:val="00AC1B5B"/>
    <w:rsid w:val="00AC2555"/>
    <w:rsid w:val="00AC2CFF"/>
    <w:rsid w:val="00AC318A"/>
    <w:rsid w:val="00AC3229"/>
    <w:rsid w:val="00AC338D"/>
    <w:rsid w:val="00AC38DB"/>
    <w:rsid w:val="00AC43AE"/>
    <w:rsid w:val="00AC637F"/>
    <w:rsid w:val="00AC64D4"/>
    <w:rsid w:val="00AD16F1"/>
    <w:rsid w:val="00AD3F53"/>
    <w:rsid w:val="00AD4E66"/>
    <w:rsid w:val="00AD629F"/>
    <w:rsid w:val="00AD67FC"/>
    <w:rsid w:val="00AD6EE3"/>
    <w:rsid w:val="00AD70BD"/>
    <w:rsid w:val="00AD72A7"/>
    <w:rsid w:val="00AE0015"/>
    <w:rsid w:val="00AE0E81"/>
    <w:rsid w:val="00AE288E"/>
    <w:rsid w:val="00AE38B3"/>
    <w:rsid w:val="00AE38EE"/>
    <w:rsid w:val="00AE393D"/>
    <w:rsid w:val="00AE3DE0"/>
    <w:rsid w:val="00AE4B7D"/>
    <w:rsid w:val="00AE7630"/>
    <w:rsid w:val="00AE7633"/>
    <w:rsid w:val="00AE7FF1"/>
    <w:rsid w:val="00AF00EA"/>
    <w:rsid w:val="00AF1FB3"/>
    <w:rsid w:val="00AF2DA8"/>
    <w:rsid w:val="00AF42A4"/>
    <w:rsid w:val="00AF4A6A"/>
    <w:rsid w:val="00AF54D0"/>
    <w:rsid w:val="00AF6C3A"/>
    <w:rsid w:val="00AF732D"/>
    <w:rsid w:val="00B000F8"/>
    <w:rsid w:val="00B00523"/>
    <w:rsid w:val="00B00667"/>
    <w:rsid w:val="00B00671"/>
    <w:rsid w:val="00B02F2C"/>
    <w:rsid w:val="00B030F4"/>
    <w:rsid w:val="00B03CC3"/>
    <w:rsid w:val="00B04466"/>
    <w:rsid w:val="00B04830"/>
    <w:rsid w:val="00B05F03"/>
    <w:rsid w:val="00B06F7A"/>
    <w:rsid w:val="00B07376"/>
    <w:rsid w:val="00B07AC4"/>
    <w:rsid w:val="00B10B13"/>
    <w:rsid w:val="00B11796"/>
    <w:rsid w:val="00B1192A"/>
    <w:rsid w:val="00B12167"/>
    <w:rsid w:val="00B12892"/>
    <w:rsid w:val="00B13AB8"/>
    <w:rsid w:val="00B13C01"/>
    <w:rsid w:val="00B13ECB"/>
    <w:rsid w:val="00B145C8"/>
    <w:rsid w:val="00B16193"/>
    <w:rsid w:val="00B163C5"/>
    <w:rsid w:val="00B16653"/>
    <w:rsid w:val="00B168CD"/>
    <w:rsid w:val="00B17E8D"/>
    <w:rsid w:val="00B23938"/>
    <w:rsid w:val="00B23EFD"/>
    <w:rsid w:val="00B23FF0"/>
    <w:rsid w:val="00B2522A"/>
    <w:rsid w:val="00B2586F"/>
    <w:rsid w:val="00B2635D"/>
    <w:rsid w:val="00B265B1"/>
    <w:rsid w:val="00B269C2"/>
    <w:rsid w:val="00B26F6A"/>
    <w:rsid w:val="00B27850"/>
    <w:rsid w:val="00B325CC"/>
    <w:rsid w:val="00B32754"/>
    <w:rsid w:val="00B32A29"/>
    <w:rsid w:val="00B33254"/>
    <w:rsid w:val="00B3523E"/>
    <w:rsid w:val="00B35DC3"/>
    <w:rsid w:val="00B36B61"/>
    <w:rsid w:val="00B36ED3"/>
    <w:rsid w:val="00B37461"/>
    <w:rsid w:val="00B40536"/>
    <w:rsid w:val="00B41DD6"/>
    <w:rsid w:val="00B4269A"/>
    <w:rsid w:val="00B435D7"/>
    <w:rsid w:val="00B4365A"/>
    <w:rsid w:val="00B44074"/>
    <w:rsid w:val="00B441F9"/>
    <w:rsid w:val="00B50174"/>
    <w:rsid w:val="00B50596"/>
    <w:rsid w:val="00B52BD2"/>
    <w:rsid w:val="00B52F6F"/>
    <w:rsid w:val="00B53F15"/>
    <w:rsid w:val="00B54843"/>
    <w:rsid w:val="00B5509A"/>
    <w:rsid w:val="00B5561B"/>
    <w:rsid w:val="00B5654C"/>
    <w:rsid w:val="00B56562"/>
    <w:rsid w:val="00B57AA0"/>
    <w:rsid w:val="00B6176E"/>
    <w:rsid w:val="00B634B3"/>
    <w:rsid w:val="00B63C7C"/>
    <w:rsid w:val="00B64A6C"/>
    <w:rsid w:val="00B65B1C"/>
    <w:rsid w:val="00B66723"/>
    <w:rsid w:val="00B67948"/>
    <w:rsid w:val="00B7003E"/>
    <w:rsid w:val="00B70D5D"/>
    <w:rsid w:val="00B7117E"/>
    <w:rsid w:val="00B71A74"/>
    <w:rsid w:val="00B71F77"/>
    <w:rsid w:val="00B722FD"/>
    <w:rsid w:val="00B72E98"/>
    <w:rsid w:val="00B73427"/>
    <w:rsid w:val="00B7442A"/>
    <w:rsid w:val="00B75739"/>
    <w:rsid w:val="00B7795C"/>
    <w:rsid w:val="00B81A62"/>
    <w:rsid w:val="00B82B2C"/>
    <w:rsid w:val="00B82FE3"/>
    <w:rsid w:val="00B83638"/>
    <w:rsid w:val="00B84B3E"/>
    <w:rsid w:val="00B8576A"/>
    <w:rsid w:val="00B86275"/>
    <w:rsid w:val="00B863D0"/>
    <w:rsid w:val="00B87E53"/>
    <w:rsid w:val="00B9074F"/>
    <w:rsid w:val="00B90A52"/>
    <w:rsid w:val="00B923C8"/>
    <w:rsid w:val="00B932A9"/>
    <w:rsid w:val="00B94271"/>
    <w:rsid w:val="00B94B2B"/>
    <w:rsid w:val="00B94D04"/>
    <w:rsid w:val="00B95E32"/>
    <w:rsid w:val="00B96105"/>
    <w:rsid w:val="00B975F0"/>
    <w:rsid w:val="00B97C01"/>
    <w:rsid w:val="00BA00CC"/>
    <w:rsid w:val="00BA18B9"/>
    <w:rsid w:val="00BA351F"/>
    <w:rsid w:val="00BA3BB1"/>
    <w:rsid w:val="00BA3C98"/>
    <w:rsid w:val="00BA4512"/>
    <w:rsid w:val="00BA45FE"/>
    <w:rsid w:val="00BA4B30"/>
    <w:rsid w:val="00BA4C72"/>
    <w:rsid w:val="00BA5CEC"/>
    <w:rsid w:val="00BA6117"/>
    <w:rsid w:val="00BA6625"/>
    <w:rsid w:val="00BA79CA"/>
    <w:rsid w:val="00BB0371"/>
    <w:rsid w:val="00BB0FC2"/>
    <w:rsid w:val="00BB13E2"/>
    <w:rsid w:val="00BB17B8"/>
    <w:rsid w:val="00BB2376"/>
    <w:rsid w:val="00BB2461"/>
    <w:rsid w:val="00BB3EBC"/>
    <w:rsid w:val="00BB4138"/>
    <w:rsid w:val="00BB4D6B"/>
    <w:rsid w:val="00BB4D8C"/>
    <w:rsid w:val="00BB5067"/>
    <w:rsid w:val="00BB6406"/>
    <w:rsid w:val="00BB641E"/>
    <w:rsid w:val="00BB64D4"/>
    <w:rsid w:val="00BB6B37"/>
    <w:rsid w:val="00BC00FD"/>
    <w:rsid w:val="00BC10EC"/>
    <w:rsid w:val="00BC13AB"/>
    <w:rsid w:val="00BC164A"/>
    <w:rsid w:val="00BC2571"/>
    <w:rsid w:val="00BC281F"/>
    <w:rsid w:val="00BC3D88"/>
    <w:rsid w:val="00BC4192"/>
    <w:rsid w:val="00BC4A9E"/>
    <w:rsid w:val="00BC5DD8"/>
    <w:rsid w:val="00BC659E"/>
    <w:rsid w:val="00BC6CE3"/>
    <w:rsid w:val="00BC6FB4"/>
    <w:rsid w:val="00BC708F"/>
    <w:rsid w:val="00BC78FD"/>
    <w:rsid w:val="00BC7E36"/>
    <w:rsid w:val="00BC7FF8"/>
    <w:rsid w:val="00BD05DE"/>
    <w:rsid w:val="00BD3231"/>
    <w:rsid w:val="00BD3F6A"/>
    <w:rsid w:val="00BD4654"/>
    <w:rsid w:val="00BD472F"/>
    <w:rsid w:val="00BD54CE"/>
    <w:rsid w:val="00BD62A1"/>
    <w:rsid w:val="00BD650D"/>
    <w:rsid w:val="00BD654D"/>
    <w:rsid w:val="00BD66EE"/>
    <w:rsid w:val="00BD6A37"/>
    <w:rsid w:val="00BD7B8F"/>
    <w:rsid w:val="00BD7D58"/>
    <w:rsid w:val="00BE0700"/>
    <w:rsid w:val="00BE1F44"/>
    <w:rsid w:val="00BE24C6"/>
    <w:rsid w:val="00BE31F3"/>
    <w:rsid w:val="00BE4164"/>
    <w:rsid w:val="00BE5172"/>
    <w:rsid w:val="00BE5E0C"/>
    <w:rsid w:val="00BE5F5B"/>
    <w:rsid w:val="00BE613F"/>
    <w:rsid w:val="00BE6FBD"/>
    <w:rsid w:val="00BE7ECE"/>
    <w:rsid w:val="00BF1405"/>
    <w:rsid w:val="00BF16F3"/>
    <w:rsid w:val="00BF186D"/>
    <w:rsid w:val="00BF226F"/>
    <w:rsid w:val="00BF3166"/>
    <w:rsid w:val="00BF35F6"/>
    <w:rsid w:val="00BF461E"/>
    <w:rsid w:val="00BF56E6"/>
    <w:rsid w:val="00BF57B1"/>
    <w:rsid w:val="00BF609E"/>
    <w:rsid w:val="00BF6BB5"/>
    <w:rsid w:val="00BF77B3"/>
    <w:rsid w:val="00BF7FF9"/>
    <w:rsid w:val="00C0025D"/>
    <w:rsid w:val="00C008FC"/>
    <w:rsid w:val="00C01944"/>
    <w:rsid w:val="00C019E5"/>
    <w:rsid w:val="00C01BF9"/>
    <w:rsid w:val="00C01C13"/>
    <w:rsid w:val="00C02386"/>
    <w:rsid w:val="00C02A4C"/>
    <w:rsid w:val="00C03A73"/>
    <w:rsid w:val="00C03E94"/>
    <w:rsid w:val="00C03FF9"/>
    <w:rsid w:val="00C0425B"/>
    <w:rsid w:val="00C07380"/>
    <w:rsid w:val="00C07AF8"/>
    <w:rsid w:val="00C10189"/>
    <w:rsid w:val="00C107F2"/>
    <w:rsid w:val="00C1113F"/>
    <w:rsid w:val="00C1296E"/>
    <w:rsid w:val="00C12BA2"/>
    <w:rsid w:val="00C13287"/>
    <w:rsid w:val="00C13D34"/>
    <w:rsid w:val="00C14763"/>
    <w:rsid w:val="00C148A0"/>
    <w:rsid w:val="00C15E2A"/>
    <w:rsid w:val="00C1608E"/>
    <w:rsid w:val="00C16F05"/>
    <w:rsid w:val="00C17807"/>
    <w:rsid w:val="00C17825"/>
    <w:rsid w:val="00C206E0"/>
    <w:rsid w:val="00C211C1"/>
    <w:rsid w:val="00C2289E"/>
    <w:rsid w:val="00C22B55"/>
    <w:rsid w:val="00C22F0A"/>
    <w:rsid w:val="00C23C77"/>
    <w:rsid w:val="00C23D5B"/>
    <w:rsid w:val="00C30631"/>
    <w:rsid w:val="00C30A32"/>
    <w:rsid w:val="00C315C4"/>
    <w:rsid w:val="00C31679"/>
    <w:rsid w:val="00C32570"/>
    <w:rsid w:val="00C33049"/>
    <w:rsid w:val="00C33231"/>
    <w:rsid w:val="00C33611"/>
    <w:rsid w:val="00C3362F"/>
    <w:rsid w:val="00C337C6"/>
    <w:rsid w:val="00C33F56"/>
    <w:rsid w:val="00C34128"/>
    <w:rsid w:val="00C34A25"/>
    <w:rsid w:val="00C34F43"/>
    <w:rsid w:val="00C35553"/>
    <w:rsid w:val="00C35DA4"/>
    <w:rsid w:val="00C367D5"/>
    <w:rsid w:val="00C36962"/>
    <w:rsid w:val="00C36B59"/>
    <w:rsid w:val="00C36D56"/>
    <w:rsid w:val="00C37FD1"/>
    <w:rsid w:val="00C40A34"/>
    <w:rsid w:val="00C40DC9"/>
    <w:rsid w:val="00C40E26"/>
    <w:rsid w:val="00C41269"/>
    <w:rsid w:val="00C41B0E"/>
    <w:rsid w:val="00C41D98"/>
    <w:rsid w:val="00C42C9B"/>
    <w:rsid w:val="00C42DD0"/>
    <w:rsid w:val="00C46564"/>
    <w:rsid w:val="00C4736A"/>
    <w:rsid w:val="00C476F0"/>
    <w:rsid w:val="00C5162B"/>
    <w:rsid w:val="00C52AE1"/>
    <w:rsid w:val="00C53878"/>
    <w:rsid w:val="00C54639"/>
    <w:rsid w:val="00C547D7"/>
    <w:rsid w:val="00C5662E"/>
    <w:rsid w:val="00C570BB"/>
    <w:rsid w:val="00C577DD"/>
    <w:rsid w:val="00C57A63"/>
    <w:rsid w:val="00C57C85"/>
    <w:rsid w:val="00C60FC3"/>
    <w:rsid w:val="00C61830"/>
    <w:rsid w:val="00C61B24"/>
    <w:rsid w:val="00C620D9"/>
    <w:rsid w:val="00C62898"/>
    <w:rsid w:val="00C6325D"/>
    <w:rsid w:val="00C6373A"/>
    <w:rsid w:val="00C63C16"/>
    <w:rsid w:val="00C6476E"/>
    <w:rsid w:val="00C668F1"/>
    <w:rsid w:val="00C67230"/>
    <w:rsid w:val="00C7007C"/>
    <w:rsid w:val="00C7061D"/>
    <w:rsid w:val="00C709EE"/>
    <w:rsid w:val="00C71168"/>
    <w:rsid w:val="00C72144"/>
    <w:rsid w:val="00C72ED9"/>
    <w:rsid w:val="00C746C3"/>
    <w:rsid w:val="00C74817"/>
    <w:rsid w:val="00C75C96"/>
    <w:rsid w:val="00C7613D"/>
    <w:rsid w:val="00C77221"/>
    <w:rsid w:val="00C77D00"/>
    <w:rsid w:val="00C80F92"/>
    <w:rsid w:val="00C82308"/>
    <w:rsid w:val="00C82F46"/>
    <w:rsid w:val="00C83CE2"/>
    <w:rsid w:val="00C84075"/>
    <w:rsid w:val="00C84DC0"/>
    <w:rsid w:val="00C86172"/>
    <w:rsid w:val="00C869EE"/>
    <w:rsid w:val="00C86C03"/>
    <w:rsid w:val="00C86EC1"/>
    <w:rsid w:val="00C86F52"/>
    <w:rsid w:val="00C879DB"/>
    <w:rsid w:val="00C90344"/>
    <w:rsid w:val="00C917AE"/>
    <w:rsid w:val="00C9232B"/>
    <w:rsid w:val="00C9354C"/>
    <w:rsid w:val="00C93793"/>
    <w:rsid w:val="00C93817"/>
    <w:rsid w:val="00C93BC2"/>
    <w:rsid w:val="00C95324"/>
    <w:rsid w:val="00C95501"/>
    <w:rsid w:val="00C95767"/>
    <w:rsid w:val="00C97094"/>
    <w:rsid w:val="00C97D4A"/>
    <w:rsid w:val="00CA015D"/>
    <w:rsid w:val="00CA0D99"/>
    <w:rsid w:val="00CA1631"/>
    <w:rsid w:val="00CA3197"/>
    <w:rsid w:val="00CA4B12"/>
    <w:rsid w:val="00CA7053"/>
    <w:rsid w:val="00CB03B8"/>
    <w:rsid w:val="00CB043A"/>
    <w:rsid w:val="00CB0B32"/>
    <w:rsid w:val="00CB20F0"/>
    <w:rsid w:val="00CB20F8"/>
    <w:rsid w:val="00CB2AAB"/>
    <w:rsid w:val="00CB2C70"/>
    <w:rsid w:val="00CB3108"/>
    <w:rsid w:val="00CB3C09"/>
    <w:rsid w:val="00CB3E54"/>
    <w:rsid w:val="00CB5CA6"/>
    <w:rsid w:val="00CB74A8"/>
    <w:rsid w:val="00CB7D33"/>
    <w:rsid w:val="00CB7F07"/>
    <w:rsid w:val="00CC1519"/>
    <w:rsid w:val="00CC3B33"/>
    <w:rsid w:val="00CC43C3"/>
    <w:rsid w:val="00CC50F7"/>
    <w:rsid w:val="00CC600D"/>
    <w:rsid w:val="00CC6B00"/>
    <w:rsid w:val="00CC6C73"/>
    <w:rsid w:val="00CC7C4C"/>
    <w:rsid w:val="00CD11A0"/>
    <w:rsid w:val="00CD12CA"/>
    <w:rsid w:val="00CD132E"/>
    <w:rsid w:val="00CD1BAC"/>
    <w:rsid w:val="00CD1DC4"/>
    <w:rsid w:val="00CD1E77"/>
    <w:rsid w:val="00CD3A9E"/>
    <w:rsid w:val="00CD544E"/>
    <w:rsid w:val="00CD5895"/>
    <w:rsid w:val="00CD59CF"/>
    <w:rsid w:val="00CD6C89"/>
    <w:rsid w:val="00CD740D"/>
    <w:rsid w:val="00CE0147"/>
    <w:rsid w:val="00CE121C"/>
    <w:rsid w:val="00CE1346"/>
    <w:rsid w:val="00CE1794"/>
    <w:rsid w:val="00CE2887"/>
    <w:rsid w:val="00CE2E77"/>
    <w:rsid w:val="00CE39F4"/>
    <w:rsid w:val="00CE3EF6"/>
    <w:rsid w:val="00CE5944"/>
    <w:rsid w:val="00CE6731"/>
    <w:rsid w:val="00CE7926"/>
    <w:rsid w:val="00CF1374"/>
    <w:rsid w:val="00CF23C0"/>
    <w:rsid w:val="00CF3332"/>
    <w:rsid w:val="00CF4E3E"/>
    <w:rsid w:val="00CF7257"/>
    <w:rsid w:val="00CF7521"/>
    <w:rsid w:val="00CF7698"/>
    <w:rsid w:val="00CF7E58"/>
    <w:rsid w:val="00D01C7D"/>
    <w:rsid w:val="00D04FC0"/>
    <w:rsid w:val="00D05A64"/>
    <w:rsid w:val="00D06269"/>
    <w:rsid w:val="00D06456"/>
    <w:rsid w:val="00D07254"/>
    <w:rsid w:val="00D10386"/>
    <w:rsid w:val="00D10429"/>
    <w:rsid w:val="00D1169F"/>
    <w:rsid w:val="00D12300"/>
    <w:rsid w:val="00D138AB"/>
    <w:rsid w:val="00D142E3"/>
    <w:rsid w:val="00D14921"/>
    <w:rsid w:val="00D153AA"/>
    <w:rsid w:val="00D15503"/>
    <w:rsid w:val="00D16050"/>
    <w:rsid w:val="00D16451"/>
    <w:rsid w:val="00D16E47"/>
    <w:rsid w:val="00D174E6"/>
    <w:rsid w:val="00D17F07"/>
    <w:rsid w:val="00D200C4"/>
    <w:rsid w:val="00D21755"/>
    <w:rsid w:val="00D219C2"/>
    <w:rsid w:val="00D2249C"/>
    <w:rsid w:val="00D23370"/>
    <w:rsid w:val="00D238EF"/>
    <w:rsid w:val="00D23F4D"/>
    <w:rsid w:val="00D2663B"/>
    <w:rsid w:val="00D26A1D"/>
    <w:rsid w:val="00D27FB0"/>
    <w:rsid w:val="00D30278"/>
    <w:rsid w:val="00D30ECA"/>
    <w:rsid w:val="00D31A69"/>
    <w:rsid w:val="00D3205C"/>
    <w:rsid w:val="00D326ED"/>
    <w:rsid w:val="00D332B0"/>
    <w:rsid w:val="00D33B88"/>
    <w:rsid w:val="00D3526C"/>
    <w:rsid w:val="00D3527A"/>
    <w:rsid w:val="00D35291"/>
    <w:rsid w:val="00D36224"/>
    <w:rsid w:val="00D37CC8"/>
    <w:rsid w:val="00D37F6B"/>
    <w:rsid w:val="00D40331"/>
    <w:rsid w:val="00D40653"/>
    <w:rsid w:val="00D40F7B"/>
    <w:rsid w:val="00D42250"/>
    <w:rsid w:val="00D449E3"/>
    <w:rsid w:val="00D45698"/>
    <w:rsid w:val="00D460D8"/>
    <w:rsid w:val="00D47AA3"/>
    <w:rsid w:val="00D50414"/>
    <w:rsid w:val="00D50EC2"/>
    <w:rsid w:val="00D511CB"/>
    <w:rsid w:val="00D528B5"/>
    <w:rsid w:val="00D53E3F"/>
    <w:rsid w:val="00D54F93"/>
    <w:rsid w:val="00D55503"/>
    <w:rsid w:val="00D55662"/>
    <w:rsid w:val="00D55869"/>
    <w:rsid w:val="00D5608C"/>
    <w:rsid w:val="00D56943"/>
    <w:rsid w:val="00D56AD7"/>
    <w:rsid w:val="00D60BB2"/>
    <w:rsid w:val="00D60D90"/>
    <w:rsid w:val="00D6145B"/>
    <w:rsid w:val="00D61CF7"/>
    <w:rsid w:val="00D6258F"/>
    <w:rsid w:val="00D63216"/>
    <w:rsid w:val="00D63C67"/>
    <w:rsid w:val="00D64188"/>
    <w:rsid w:val="00D650EC"/>
    <w:rsid w:val="00D6577C"/>
    <w:rsid w:val="00D65DB4"/>
    <w:rsid w:val="00D70422"/>
    <w:rsid w:val="00D717FC"/>
    <w:rsid w:val="00D72440"/>
    <w:rsid w:val="00D7265A"/>
    <w:rsid w:val="00D72B02"/>
    <w:rsid w:val="00D72E0A"/>
    <w:rsid w:val="00D72EDA"/>
    <w:rsid w:val="00D7383A"/>
    <w:rsid w:val="00D73C17"/>
    <w:rsid w:val="00D7470B"/>
    <w:rsid w:val="00D74D41"/>
    <w:rsid w:val="00D773B8"/>
    <w:rsid w:val="00D81272"/>
    <w:rsid w:val="00D8157C"/>
    <w:rsid w:val="00D8164E"/>
    <w:rsid w:val="00D817AB"/>
    <w:rsid w:val="00D82A9A"/>
    <w:rsid w:val="00D837E8"/>
    <w:rsid w:val="00D83902"/>
    <w:rsid w:val="00D83F8B"/>
    <w:rsid w:val="00D8540C"/>
    <w:rsid w:val="00D863DE"/>
    <w:rsid w:val="00D86D1E"/>
    <w:rsid w:val="00D914FA"/>
    <w:rsid w:val="00D9276C"/>
    <w:rsid w:val="00D92C73"/>
    <w:rsid w:val="00D92FFD"/>
    <w:rsid w:val="00D93D94"/>
    <w:rsid w:val="00D93E27"/>
    <w:rsid w:val="00D94870"/>
    <w:rsid w:val="00D95603"/>
    <w:rsid w:val="00D957F1"/>
    <w:rsid w:val="00D959BB"/>
    <w:rsid w:val="00D970D5"/>
    <w:rsid w:val="00D97239"/>
    <w:rsid w:val="00D9792D"/>
    <w:rsid w:val="00DA0089"/>
    <w:rsid w:val="00DA0251"/>
    <w:rsid w:val="00DA0D1E"/>
    <w:rsid w:val="00DA19ED"/>
    <w:rsid w:val="00DA1B83"/>
    <w:rsid w:val="00DA29A9"/>
    <w:rsid w:val="00DA4B11"/>
    <w:rsid w:val="00DA520C"/>
    <w:rsid w:val="00DA55F6"/>
    <w:rsid w:val="00DA60AF"/>
    <w:rsid w:val="00DA64D0"/>
    <w:rsid w:val="00DA6D4A"/>
    <w:rsid w:val="00DB0175"/>
    <w:rsid w:val="00DB49AC"/>
    <w:rsid w:val="00DB52AD"/>
    <w:rsid w:val="00DB65A5"/>
    <w:rsid w:val="00DB685C"/>
    <w:rsid w:val="00DB7025"/>
    <w:rsid w:val="00DB70EB"/>
    <w:rsid w:val="00DB789C"/>
    <w:rsid w:val="00DC0715"/>
    <w:rsid w:val="00DC25AB"/>
    <w:rsid w:val="00DC2C83"/>
    <w:rsid w:val="00DC2EC3"/>
    <w:rsid w:val="00DC34D0"/>
    <w:rsid w:val="00DC5714"/>
    <w:rsid w:val="00DC6A66"/>
    <w:rsid w:val="00DC7344"/>
    <w:rsid w:val="00DC7592"/>
    <w:rsid w:val="00DD2191"/>
    <w:rsid w:val="00DD3665"/>
    <w:rsid w:val="00DD3952"/>
    <w:rsid w:val="00DD3B33"/>
    <w:rsid w:val="00DD3CCF"/>
    <w:rsid w:val="00DD5358"/>
    <w:rsid w:val="00DD6D99"/>
    <w:rsid w:val="00DD7439"/>
    <w:rsid w:val="00DE0F0F"/>
    <w:rsid w:val="00DE2983"/>
    <w:rsid w:val="00DE333B"/>
    <w:rsid w:val="00DE4425"/>
    <w:rsid w:val="00DE476C"/>
    <w:rsid w:val="00DE5CA0"/>
    <w:rsid w:val="00DE5F08"/>
    <w:rsid w:val="00DE6C5C"/>
    <w:rsid w:val="00DF209E"/>
    <w:rsid w:val="00DF33EF"/>
    <w:rsid w:val="00DF3CA4"/>
    <w:rsid w:val="00DF3E0E"/>
    <w:rsid w:val="00DF63FE"/>
    <w:rsid w:val="00DF6791"/>
    <w:rsid w:val="00DF73BA"/>
    <w:rsid w:val="00DF75FD"/>
    <w:rsid w:val="00DF7AA1"/>
    <w:rsid w:val="00DF7B01"/>
    <w:rsid w:val="00DF7D57"/>
    <w:rsid w:val="00E006F7"/>
    <w:rsid w:val="00E01CA1"/>
    <w:rsid w:val="00E027F7"/>
    <w:rsid w:val="00E02A2C"/>
    <w:rsid w:val="00E032F6"/>
    <w:rsid w:val="00E04F46"/>
    <w:rsid w:val="00E05B40"/>
    <w:rsid w:val="00E05D71"/>
    <w:rsid w:val="00E07724"/>
    <w:rsid w:val="00E07D1D"/>
    <w:rsid w:val="00E1026F"/>
    <w:rsid w:val="00E10B57"/>
    <w:rsid w:val="00E10F21"/>
    <w:rsid w:val="00E127EF"/>
    <w:rsid w:val="00E12E76"/>
    <w:rsid w:val="00E1330F"/>
    <w:rsid w:val="00E133C7"/>
    <w:rsid w:val="00E1348A"/>
    <w:rsid w:val="00E13D82"/>
    <w:rsid w:val="00E1744D"/>
    <w:rsid w:val="00E20380"/>
    <w:rsid w:val="00E210E7"/>
    <w:rsid w:val="00E21E23"/>
    <w:rsid w:val="00E22D79"/>
    <w:rsid w:val="00E23B27"/>
    <w:rsid w:val="00E255FD"/>
    <w:rsid w:val="00E26382"/>
    <w:rsid w:val="00E27161"/>
    <w:rsid w:val="00E279DE"/>
    <w:rsid w:val="00E30BFA"/>
    <w:rsid w:val="00E30E62"/>
    <w:rsid w:val="00E31502"/>
    <w:rsid w:val="00E31719"/>
    <w:rsid w:val="00E319D6"/>
    <w:rsid w:val="00E31EBA"/>
    <w:rsid w:val="00E322AF"/>
    <w:rsid w:val="00E358B6"/>
    <w:rsid w:val="00E35986"/>
    <w:rsid w:val="00E36E88"/>
    <w:rsid w:val="00E37DA2"/>
    <w:rsid w:val="00E406F3"/>
    <w:rsid w:val="00E4073A"/>
    <w:rsid w:val="00E40AC5"/>
    <w:rsid w:val="00E41EFD"/>
    <w:rsid w:val="00E42197"/>
    <w:rsid w:val="00E4284B"/>
    <w:rsid w:val="00E42950"/>
    <w:rsid w:val="00E430C4"/>
    <w:rsid w:val="00E436BC"/>
    <w:rsid w:val="00E44D6A"/>
    <w:rsid w:val="00E47001"/>
    <w:rsid w:val="00E47593"/>
    <w:rsid w:val="00E47F64"/>
    <w:rsid w:val="00E500B4"/>
    <w:rsid w:val="00E51413"/>
    <w:rsid w:val="00E51877"/>
    <w:rsid w:val="00E518AC"/>
    <w:rsid w:val="00E51B0B"/>
    <w:rsid w:val="00E52085"/>
    <w:rsid w:val="00E52AA7"/>
    <w:rsid w:val="00E52B9F"/>
    <w:rsid w:val="00E533D8"/>
    <w:rsid w:val="00E536EB"/>
    <w:rsid w:val="00E53C9E"/>
    <w:rsid w:val="00E5444C"/>
    <w:rsid w:val="00E5480D"/>
    <w:rsid w:val="00E551C6"/>
    <w:rsid w:val="00E55920"/>
    <w:rsid w:val="00E55F5A"/>
    <w:rsid w:val="00E56043"/>
    <w:rsid w:val="00E579D5"/>
    <w:rsid w:val="00E6148E"/>
    <w:rsid w:val="00E616A5"/>
    <w:rsid w:val="00E6266A"/>
    <w:rsid w:val="00E6266C"/>
    <w:rsid w:val="00E6309D"/>
    <w:rsid w:val="00E643AA"/>
    <w:rsid w:val="00E64552"/>
    <w:rsid w:val="00E673CC"/>
    <w:rsid w:val="00E677E6"/>
    <w:rsid w:val="00E701B9"/>
    <w:rsid w:val="00E710A3"/>
    <w:rsid w:val="00E732CF"/>
    <w:rsid w:val="00E73C24"/>
    <w:rsid w:val="00E748C9"/>
    <w:rsid w:val="00E7523A"/>
    <w:rsid w:val="00E75A25"/>
    <w:rsid w:val="00E75B20"/>
    <w:rsid w:val="00E760AE"/>
    <w:rsid w:val="00E80674"/>
    <w:rsid w:val="00E8079B"/>
    <w:rsid w:val="00E8086C"/>
    <w:rsid w:val="00E80D0E"/>
    <w:rsid w:val="00E8102C"/>
    <w:rsid w:val="00E81593"/>
    <w:rsid w:val="00E81F29"/>
    <w:rsid w:val="00E83E59"/>
    <w:rsid w:val="00E853DD"/>
    <w:rsid w:val="00E875DC"/>
    <w:rsid w:val="00E87750"/>
    <w:rsid w:val="00E87840"/>
    <w:rsid w:val="00E87DFF"/>
    <w:rsid w:val="00E905B2"/>
    <w:rsid w:val="00E907C7"/>
    <w:rsid w:val="00E9136C"/>
    <w:rsid w:val="00E923CF"/>
    <w:rsid w:val="00E928D5"/>
    <w:rsid w:val="00E93B35"/>
    <w:rsid w:val="00E94B89"/>
    <w:rsid w:val="00E94E2C"/>
    <w:rsid w:val="00E94E7D"/>
    <w:rsid w:val="00E95331"/>
    <w:rsid w:val="00E9542A"/>
    <w:rsid w:val="00E9583C"/>
    <w:rsid w:val="00E966E5"/>
    <w:rsid w:val="00E96BC9"/>
    <w:rsid w:val="00E972F1"/>
    <w:rsid w:val="00EA01E8"/>
    <w:rsid w:val="00EA0215"/>
    <w:rsid w:val="00EA05F3"/>
    <w:rsid w:val="00EA0C03"/>
    <w:rsid w:val="00EA0EEC"/>
    <w:rsid w:val="00EA5250"/>
    <w:rsid w:val="00EA5262"/>
    <w:rsid w:val="00EA64B1"/>
    <w:rsid w:val="00EA665B"/>
    <w:rsid w:val="00EA6BB6"/>
    <w:rsid w:val="00EA6C31"/>
    <w:rsid w:val="00EA6D80"/>
    <w:rsid w:val="00EB1BC3"/>
    <w:rsid w:val="00EB1C92"/>
    <w:rsid w:val="00EB1D05"/>
    <w:rsid w:val="00EB2099"/>
    <w:rsid w:val="00EB35B2"/>
    <w:rsid w:val="00EB3899"/>
    <w:rsid w:val="00EB5834"/>
    <w:rsid w:val="00EB5D19"/>
    <w:rsid w:val="00EB5E16"/>
    <w:rsid w:val="00EB6552"/>
    <w:rsid w:val="00EB778F"/>
    <w:rsid w:val="00EC0729"/>
    <w:rsid w:val="00EC1211"/>
    <w:rsid w:val="00EC1FBB"/>
    <w:rsid w:val="00EC2E0C"/>
    <w:rsid w:val="00EC32F1"/>
    <w:rsid w:val="00EC5B2D"/>
    <w:rsid w:val="00EC5EA3"/>
    <w:rsid w:val="00EC671A"/>
    <w:rsid w:val="00EC6970"/>
    <w:rsid w:val="00EC7E37"/>
    <w:rsid w:val="00EC7F0F"/>
    <w:rsid w:val="00ED09E1"/>
    <w:rsid w:val="00ED2E4E"/>
    <w:rsid w:val="00ED6582"/>
    <w:rsid w:val="00ED6768"/>
    <w:rsid w:val="00ED77CD"/>
    <w:rsid w:val="00ED7C02"/>
    <w:rsid w:val="00ED7E4D"/>
    <w:rsid w:val="00EE05FD"/>
    <w:rsid w:val="00EE069A"/>
    <w:rsid w:val="00EE0771"/>
    <w:rsid w:val="00EE0C37"/>
    <w:rsid w:val="00EE2583"/>
    <w:rsid w:val="00EE38FD"/>
    <w:rsid w:val="00EE484B"/>
    <w:rsid w:val="00EE4945"/>
    <w:rsid w:val="00EE542C"/>
    <w:rsid w:val="00EE5BC4"/>
    <w:rsid w:val="00EF08D4"/>
    <w:rsid w:val="00EF0B9F"/>
    <w:rsid w:val="00EF1885"/>
    <w:rsid w:val="00EF1D53"/>
    <w:rsid w:val="00EF1F90"/>
    <w:rsid w:val="00EF467B"/>
    <w:rsid w:val="00EF5298"/>
    <w:rsid w:val="00EF7653"/>
    <w:rsid w:val="00F0007C"/>
    <w:rsid w:val="00F00285"/>
    <w:rsid w:val="00F01D8C"/>
    <w:rsid w:val="00F02064"/>
    <w:rsid w:val="00F03A62"/>
    <w:rsid w:val="00F03F58"/>
    <w:rsid w:val="00F04523"/>
    <w:rsid w:val="00F045B4"/>
    <w:rsid w:val="00F063A7"/>
    <w:rsid w:val="00F0666C"/>
    <w:rsid w:val="00F072D2"/>
    <w:rsid w:val="00F07697"/>
    <w:rsid w:val="00F103F7"/>
    <w:rsid w:val="00F10618"/>
    <w:rsid w:val="00F1081B"/>
    <w:rsid w:val="00F13F15"/>
    <w:rsid w:val="00F13F1D"/>
    <w:rsid w:val="00F167CA"/>
    <w:rsid w:val="00F21C40"/>
    <w:rsid w:val="00F21DCB"/>
    <w:rsid w:val="00F23112"/>
    <w:rsid w:val="00F2357F"/>
    <w:rsid w:val="00F239E6"/>
    <w:rsid w:val="00F24859"/>
    <w:rsid w:val="00F24CCD"/>
    <w:rsid w:val="00F2535D"/>
    <w:rsid w:val="00F26B0B"/>
    <w:rsid w:val="00F27040"/>
    <w:rsid w:val="00F30BD3"/>
    <w:rsid w:val="00F3177D"/>
    <w:rsid w:val="00F322CF"/>
    <w:rsid w:val="00F32366"/>
    <w:rsid w:val="00F32488"/>
    <w:rsid w:val="00F32A8B"/>
    <w:rsid w:val="00F32D44"/>
    <w:rsid w:val="00F33584"/>
    <w:rsid w:val="00F34BEC"/>
    <w:rsid w:val="00F35059"/>
    <w:rsid w:val="00F35608"/>
    <w:rsid w:val="00F359F8"/>
    <w:rsid w:val="00F377C4"/>
    <w:rsid w:val="00F4042F"/>
    <w:rsid w:val="00F4096D"/>
    <w:rsid w:val="00F4406A"/>
    <w:rsid w:val="00F44F1D"/>
    <w:rsid w:val="00F45C7E"/>
    <w:rsid w:val="00F46589"/>
    <w:rsid w:val="00F4685C"/>
    <w:rsid w:val="00F474BD"/>
    <w:rsid w:val="00F47C62"/>
    <w:rsid w:val="00F47FCE"/>
    <w:rsid w:val="00F51037"/>
    <w:rsid w:val="00F51D52"/>
    <w:rsid w:val="00F528D0"/>
    <w:rsid w:val="00F534AE"/>
    <w:rsid w:val="00F548E5"/>
    <w:rsid w:val="00F54F26"/>
    <w:rsid w:val="00F55F48"/>
    <w:rsid w:val="00F5645C"/>
    <w:rsid w:val="00F56F40"/>
    <w:rsid w:val="00F57279"/>
    <w:rsid w:val="00F60328"/>
    <w:rsid w:val="00F61EEE"/>
    <w:rsid w:val="00F62C5F"/>
    <w:rsid w:val="00F6327F"/>
    <w:rsid w:val="00F63D9D"/>
    <w:rsid w:val="00F64F80"/>
    <w:rsid w:val="00F651D2"/>
    <w:rsid w:val="00F65676"/>
    <w:rsid w:val="00F65DEC"/>
    <w:rsid w:val="00F66B9D"/>
    <w:rsid w:val="00F67F81"/>
    <w:rsid w:val="00F7076F"/>
    <w:rsid w:val="00F71527"/>
    <w:rsid w:val="00F71A85"/>
    <w:rsid w:val="00F72103"/>
    <w:rsid w:val="00F721B7"/>
    <w:rsid w:val="00F73195"/>
    <w:rsid w:val="00F7564D"/>
    <w:rsid w:val="00F76F9F"/>
    <w:rsid w:val="00F77387"/>
    <w:rsid w:val="00F77EFE"/>
    <w:rsid w:val="00F81920"/>
    <w:rsid w:val="00F81AFD"/>
    <w:rsid w:val="00F81ECA"/>
    <w:rsid w:val="00F82B64"/>
    <w:rsid w:val="00F82FED"/>
    <w:rsid w:val="00F83175"/>
    <w:rsid w:val="00F836AA"/>
    <w:rsid w:val="00F837EE"/>
    <w:rsid w:val="00F86321"/>
    <w:rsid w:val="00F92EC5"/>
    <w:rsid w:val="00F92F3F"/>
    <w:rsid w:val="00F93035"/>
    <w:rsid w:val="00F93A51"/>
    <w:rsid w:val="00F95272"/>
    <w:rsid w:val="00F95B51"/>
    <w:rsid w:val="00F95D1B"/>
    <w:rsid w:val="00F96311"/>
    <w:rsid w:val="00F96522"/>
    <w:rsid w:val="00F9682E"/>
    <w:rsid w:val="00F97C49"/>
    <w:rsid w:val="00FA0F7B"/>
    <w:rsid w:val="00FA10E4"/>
    <w:rsid w:val="00FA146C"/>
    <w:rsid w:val="00FA2924"/>
    <w:rsid w:val="00FA2C16"/>
    <w:rsid w:val="00FA3B56"/>
    <w:rsid w:val="00FA3B94"/>
    <w:rsid w:val="00FA54BE"/>
    <w:rsid w:val="00FA67FD"/>
    <w:rsid w:val="00FA6941"/>
    <w:rsid w:val="00FA6ECC"/>
    <w:rsid w:val="00FA7628"/>
    <w:rsid w:val="00FB050F"/>
    <w:rsid w:val="00FB11B5"/>
    <w:rsid w:val="00FB1698"/>
    <w:rsid w:val="00FB2A7E"/>
    <w:rsid w:val="00FB2C87"/>
    <w:rsid w:val="00FB32A0"/>
    <w:rsid w:val="00FB32F9"/>
    <w:rsid w:val="00FB43BF"/>
    <w:rsid w:val="00FB4940"/>
    <w:rsid w:val="00FB61D3"/>
    <w:rsid w:val="00FB7029"/>
    <w:rsid w:val="00FC02E4"/>
    <w:rsid w:val="00FC0B0C"/>
    <w:rsid w:val="00FC0FAC"/>
    <w:rsid w:val="00FC28BE"/>
    <w:rsid w:val="00FC3427"/>
    <w:rsid w:val="00FC363C"/>
    <w:rsid w:val="00FC3DAA"/>
    <w:rsid w:val="00FC4623"/>
    <w:rsid w:val="00FC6AC9"/>
    <w:rsid w:val="00FC7088"/>
    <w:rsid w:val="00FC72A6"/>
    <w:rsid w:val="00FD0A16"/>
    <w:rsid w:val="00FD1BFD"/>
    <w:rsid w:val="00FD1D0D"/>
    <w:rsid w:val="00FD55EA"/>
    <w:rsid w:val="00FD74F5"/>
    <w:rsid w:val="00FD78E4"/>
    <w:rsid w:val="00FE0D96"/>
    <w:rsid w:val="00FE0DDF"/>
    <w:rsid w:val="00FE1109"/>
    <w:rsid w:val="00FE17F8"/>
    <w:rsid w:val="00FE1869"/>
    <w:rsid w:val="00FE18A5"/>
    <w:rsid w:val="00FE2561"/>
    <w:rsid w:val="00FE357D"/>
    <w:rsid w:val="00FE36F2"/>
    <w:rsid w:val="00FE549C"/>
    <w:rsid w:val="00FE59C5"/>
    <w:rsid w:val="00FE6316"/>
    <w:rsid w:val="00FE65EE"/>
    <w:rsid w:val="00FE7197"/>
    <w:rsid w:val="00FE7A52"/>
    <w:rsid w:val="00FF08C3"/>
    <w:rsid w:val="00FF093C"/>
    <w:rsid w:val="00FF1102"/>
    <w:rsid w:val="00FF1C67"/>
    <w:rsid w:val="00FF2286"/>
    <w:rsid w:val="00FF2B64"/>
    <w:rsid w:val="00FF2E08"/>
    <w:rsid w:val="00FF3163"/>
    <w:rsid w:val="00FF49F8"/>
    <w:rsid w:val="00FF4FD6"/>
    <w:rsid w:val="00FF609F"/>
    <w:rsid w:val="00FF6DE9"/>
    <w:rsid w:val="00FF740E"/>
    <w:rsid w:val="00FF7E51"/>
    <w:rsid w:val="00FF7F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C78BC"/>
  <w15:docId w15:val="{5605C0EE-0945-4797-9A4A-20DCEDF73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lt-LT" w:eastAsia="lt-L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542633"/>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3">
    <w:name w:val="heading 3"/>
    <w:basedOn w:val="Normal"/>
    <w:next w:val="Normal"/>
    <w:link w:val="Heading3Char"/>
    <w:uiPriority w:val="9"/>
    <w:unhideWhenUsed/>
    <w:qFormat/>
    <w:rsid w:val="00B94271"/>
    <w:pPr>
      <w:keepNext/>
      <w:keepLines/>
      <w:spacing w:before="40"/>
      <w:outlineLvl w:val="2"/>
    </w:pPr>
    <w:rPr>
      <w:rFonts w:asciiTheme="majorHAnsi" w:eastAsiaTheme="majorEastAsia" w:hAnsiTheme="majorHAnsi" w:cstheme="majorBidi"/>
      <w:color w:val="1F4E6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customStyle="1" w:styleId="Default">
    <w:name w:val="Default"/>
    <w:rPr>
      <w:rFonts w:ascii="Helvetica" w:hAnsi="Arial Unicode MS" w:cs="Arial Unicode MS"/>
      <w:color w:val="000000"/>
      <w:sz w:val="22"/>
      <w:szCs w:val="22"/>
      <w:lang w:val="en-US"/>
    </w:rPr>
  </w:style>
  <w:style w:type="paragraph" w:styleId="Header">
    <w:name w:val="header"/>
    <w:basedOn w:val="Normal"/>
    <w:link w:val="HeaderChar"/>
    <w:uiPriority w:val="99"/>
    <w:unhideWhenUsed/>
    <w:rsid w:val="00052DE3"/>
    <w:pPr>
      <w:tabs>
        <w:tab w:val="center" w:pos="4819"/>
        <w:tab w:val="right" w:pos="9638"/>
      </w:tabs>
    </w:pPr>
  </w:style>
  <w:style w:type="character" w:customStyle="1" w:styleId="HeaderChar">
    <w:name w:val="Header Char"/>
    <w:basedOn w:val="DefaultParagraphFont"/>
    <w:link w:val="Header"/>
    <w:uiPriority w:val="99"/>
    <w:rsid w:val="00052DE3"/>
    <w:rPr>
      <w:sz w:val="24"/>
      <w:szCs w:val="24"/>
      <w:lang w:val="en-US" w:eastAsia="en-US"/>
    </w:rPr>
  </w:style>
  <w:style w:type="paragraph" w:styleId="Footer">
    <w:name w:val="footer"/>
    <w:basedOn w:val="Normal"/>
    <w:link w:val="FooterChar"/>
    <w:uiPriority w:val="99"/>
    <w:unhideWhenUsed/>
    <w:rsid w:val="00052DE3"/>
    <w:pPr>
      <w:tabs>
        <w:tab w:val="center" w:pos="4819"/>
        <w:tab w:val="right" w:pos="9638"/>
      </w:tabs>
    </w:pPr>
  </w:style>
  <w:style w:type="character" w:customStyle="1" w:styleId="FooterChar">
    <w:name w:val="Footer Char"/>
    <w:basedOn w:val="DefaultParagraphFont"/>
    <w:link w:val="Footer"/>
    <w:uiPriority w:val="99"/>
    <w:rsid w:val="00052DE3"/>
    <w:rPr>
      <w:sz w:val="24"/>
      <w:szCs w:val="24"/>
      <w:lang w:val="en-US" w:eastAsia="en-US"/>
    </w:rPr>
  </w:style>
  <w:style w:type="paragraph" w:styleId="BalloonText">
    <w:name w:val="Balloon Text"/>
    <w:basedOn w:val="Normal"/>
    <w:link w:val="BalloonTextChar"/>
    <w:uiPriority w:val="99"/>
    <w:semiHidden/>
    <w:unhideWhenUsed/>
    <w:rsid w:val="00052DE3"/>
    <w:rPr>
      <w:rFonts w:ascii="Tahoma" w:hAnsi="Tahoma" w:cs="Tahoma"/>
      <w:sz w:val="16"/>
      <w:szCs w:val="16"/>
    </w:rPr>
  </w:style>
  <w:style w:type="character" w:customStyle="1" w:styleId="BalloonTextChar">
    <w:name w:val="Balloon Text Char"/>
    <w:basedOn w:val="DefaultParagraphFont"/>
    <w:link w:val="BalloonText"/>
    <w:uiPriority w:val="99"/>
    <w:semiHidden/>
    <w:rsid w:val="00052DE3"/>
    <w:rPr>
      <w:rFonts w:ascii="Tahoma" w:hAnsi="Tahoma" w:cs="Tahoma"/>
      <w:sz w:val="16"/>
      <w:szCs w:val="16"/>
      <w:lang w:val="en-US" w:eastAsia="en-US"/>
    </w:rPr>
  </w:style>
  <w:style w:type="character" w:styleId="LineNumber">
    <w:name w:val="line number"/>
    <w:basedOn w:val="DefaultParagraphFont"/>
    <w:uiPriority w:val="99"/>
    <w:semiHidden/>
    <w:unhideWhenUsed/>
    <w:rsid w:val="0033484C"/>
  </w:style>
  <w:style w:type="paragraph" w:styleId="ListParagraph">
    <w:name w:val="List Paragraph"/>
    <w:aliases w:val="1st level - Bullet List Paragraph,Lettre d'introduction,Paragrafo elenco,List Paragraph1,Medium Grid 1 - Accent 21,FooterText,Paragraphe de liste1,Heading 2_sj,Numbered Para 1,Dot pt,No Spacing1,List Paragraph Char Char Char,Bullet 1,Ha"/>
    <w:basedOn w:val="Normal"/>
    <w:link w:val="ListParagraphChar"/>
    <w:uiPriority w:val="34"/>
    <w:qFormat/>
    <w:rsid w:val="00BC13AB"/>
    <w:pPr>
      <w:ind w:left="720"/>
      <w:contextualSpacing/>
    </w:pPr>
  </w:style>
  <w:style w:type="paragraph" w:customStyle="1" w:styleId="MAZAS">
    <w:name w:val="MAZAS"/>
    <w:uiPriority w:val="99"/>
    <w:rsid w:val="0005655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312"/>
      <w:jc w:val="both"/>
    </w:pPr>
    <w:rPr>
      <w:rFonts w:ascii="TimesLT" w:eastAsia="Times New Roman" w:hAnsi="TimesLT"/>
      <w:sz w:val="8"/>
      <w:szCs w:val="8"/>
      <w:bdr w:val="none" w:sz="0" w:space="0" w:color="auto"/>
      <w:lang w:val="en-US" w:eastAsia="en-US"/>
    </w:rPr>
  </w:style>
  <w:style w:type="paragraph" w:styleId="NoSpacing">
    <w:name w:val="No Spacing"/>
    <w:uiPriority w:val="1"/>
    <w:qFormat/>
    <w:rsid w:val="0005655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character" w:styleId="CommentReference">
    <w:name w:val="annotation reference"/>
    <w:basedOn w:val="DefaultParagraphFont"/>
    <w:uiPriority w:val="99"/>
    <w:semiHidden/>
    <w:unhideWhenUsed/>
    <w:rsid w:val="006E2163"/>
    <w:rPr>
      <w:sz w:val="16"/>
      <w:szCs w:val="16"/>
    </w:rPr>
  </w:style>
  <w:style w:type="paragraph" w:styleId="CommentText">
    <w:name w:val="annotation text"/>
    <w:basedOn w:val="Normal"/>
    <w:link w:val="CommentTextChar"/>
    <w:uiPriority w:val="99"/>
    <w:unhideWhenUsed/>
    <w:rsid w:val="006E2163"/>
    <w:rPr>
      <w:sz w:val="20"/>
      <w:szCs w:val="20"/>
    </w:rPr>
  </w:style>
  <w:style w:type="character" w:customStyle="1" w:styleId="CommentTextChar">
    <w:name w:val="Comment Text Char"/>
    <w:basedOn w:val="DefaultParagraphFont"/>
    <w:link w:val="CommentText"/>
    <w:uiPriority w:val="99"/>
    <w:rsid w:val="006E2163"/>
    <w:rPr>
      <w:lang w:val="en-US" w:eastAsia="en-US"/>
    </w:rPr>
  </w:style>
  <w:style w:type="paragraph" w:styleId="CommentSubject">
    <w:name w:val="annotation subject"/>
    <w:basedOn w:val="CommentText"/>
    <w:next w:val="CommentText"/>
    <w:link w:val="CommentSubjectChar"/>
    <w:uiPriority w:val="99"/>
    <w:semiHidden/>
    <w:unhideWhenUsed/>
    <w:rsid w:val="006E2163"/>
    <w:rPr>
      <w:b/>
      <w:bCs/>
    </w:rPr>
  </w:style>
  <w:style w:type="character" w:customStyle="1" w:styleId="CommentSubjectChar">
    <w:name w:val="Comment Subject Char"/>
    <w:basedOn w:val="CommentTextChar"/>
    <w:link w:val="CommentSubject"/>
    <w:uiPriority w:val="99"/>
    <w:semiHidden/>
    <w:rsid w:val="006E2163"/>
    <w:rPr>
      <w:b/>
      <w:bCs/>
      <w:lang w:val="en-US" w:eastAsia="en-US"/>
    </w:rPr>
  </w:style>
  <w:style w:type="character" w:styleId="FollowedHyperlink">
    <w:name w:val="FollowedHyperlink"/>
    <w:basedOn w:val="DefaultParagraphFont"/>
    <w:uiPriority w:val="99"/>
    <w:semiHidden/>
    <w:unhideWhenUsed/>
    <w:rsid w:val="00B12892"/>
    <w:rPr>
      <w:color w:val="FF00FF" w:themeColor="followedHyperlink"/>
      <w:u w:val="single"/>
    </w:rPr>
  </w:style>
  <w:style w:type="paragraph" w:styleId="BodyText2">
    <w:name w:val="Body Text 2"/>
    <w:basedOn w:val="Normal"/>
    <w:link w:val="BodyText2Char"/>
    <w:rsid w:val="00034040"/>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bdr w:val="none" w:sz="0" w:space="0" w:color="auto"/>
    </w:rPr>
  </w:style>
  <w:style w:type="character" w:customStyle="1" w:styleId="BodyText2Char">
    <w:name w:val="Body Text 2 Char"/>
    <w:basedOn w:val="DefaultParagraphFont"/>
    <w:link w:val="BodyText2"/>
    <w:rsid w:val="00034040"/>
    <w:rPr>
      <w:rFonts w:eastAsia="Times New Roman"/>
      <w:sz w:val="24"/>
      <w:szCs w:val="24"/>
      <w:bdr w:val="none" w:sz="0" w:space="0" w:color="auto"/>
      <w:lang w:eastAsia="en-US"/>
    </w:rPr>
  </w:style>
  <w:style w:type="character" w:styleId="PlaceholderText">
    <w:name w:val="Placeholder Text"/>
    <w:basedOn w:val="DefaultParagraphFont"/>
    <w:uiPriority w:val="99"/>
    <w:semiHidden/>
    <w:rsid w:val="00B36B61"/>
    <w:rPr>
      <w:color w:val="808080"/>
    </w:rPr>
  </w:style>
  <w:style w:type="paragraph" w:customStyle="1" w:styleId="tajtip">
    <w:name w:val="tajtip"/>
    <w:basedOn w:val="Normal"/>
    <w:rsid w:val="00D82A9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lt-LT"/>
    </w:rPr>
  </w:style>
  <w:style w:type="paragraph" w:styleId="Revision">
    <w:name w:val="Revision"/>
    <w:hidden/>
    <w:uiPriority w:val="99"/>
    <w:semiHidden/>
    <w:rsid w:val="00F55F4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customStyle="1" w:styleId="ListParagraphChar">
    <w:name w:val="List Paragraph Char"/>
    <w:aliases w:val="1st level - Bullet List Paragraph Char,Lettre d'introduction Char,Paragrafo elenco Char,List Paragraph1 Char,Medium Grid 1 - Accent 21 Char,FooterText Char,Paragraphe de liste1 Char,Heading 2_sj Char,Numbered Para 1 Char,Dot pt Char"/>
    <w:basedOn w:val="DefaultParagraphFont"/>
    <w:link w:val="ListParagraph"/>
    <w:uiPriority w:val="34"/>
    <w:qFormat/>
    <w:rsid w:val="004C74F8"/>
    <w:rPr>
      <w:sz w:val="24"/>
      <w:szCs w:val="24"/>
      <w:lang w:eastAsia="en-US"/>
    </w:rPr>
  </w:style>
  <w:style w:type="table" w:styleId="TableGrid">
    <w:name w:val="Table Grid"/>
    <w:basedOn w:val="TableNormal"/>
    <w:uiPriority w:val="59"/>
    <w:rsid w:val="00763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4A7C6E"/>
    <w:rPr>
      <w:color w:val="605E5C"/>
      <w:shd w:val="clear" w:color="auto" w:fill="E1DFDD"/>
    </w:rPr>
  </w:style>
  <w:style w:type="paragraph" w:styleId="FootnoteText">
    <w:name w:val="footnote text"/>
    <w:basedOn w:val="Normal"/>
    <w:link w:val="FootnoteTextChar"/>
    <w:uiPriority w:val="99"/>
    <w:semiHidden/>
    <w:unhideWhenUsed/>
    <w:rsid w:val="00552DC3"/>
    <w:rPr>
      <w:sz w:val="20"/>
      <w:szCs w:val="20"/>
    </w:rPr>
  </w:style>
  <w:style w:type="character" w:customStyle="1" w:styleId="FootnoteTextChar">
    <w:name w:val="Footnote Text Char"/>
    <w:basedOn w:val="DefaultParagraphFont"/>
    <w:link w:val="FootnoteText"/>
    <w:uiPriority w:val="99"/>
    <w:semiHidden/>
    <w:rsid w:val="00552DC3"/>
    <w:rPr>
      <w:lang w:eastAsia="en-US"/>
    </w:rPr>
  </w:style>
  <w:style w:type="character" w:styleId="FootnoteReference">
    <w:name w:val="footnote reference"/>
    <w:basedOn w:val="DefaultParagraphFont"/>
    <w:uiPriority w:val="99"/>
    <w:semiHidden/>
    <w:unhideWhenUsed/>
    <w:rsid w:val="00552DC3"/>
    <w:rPr>
      <w:vertAlign w:val="superscript"/>
    </w:rPr>
  </w:style>
  <w:style w:type="character" w:customStyle="1" w:styleId="Heading3Char">
    <w:name w:val="Heading 3 Char"/>
    <w:basedOn w:val="DefaultParagraphFont"/>
    <w:link w:val="Heading3"/>
    <w:uiPriority w:val="9"/>
    <w:rsid w:val="00B94271"/>
    <w:rPr>
      <w:rFonts w:asciiTheme="majorHAnsi" w:eastAsiaTheme="majorEastAsia" w:hAnsiTheme="majorHAnsi" w:cstheme="majorBidi"/>
      <w:color w:val="1F4E69" w:themeColor="accent1" w:themeShade="7F"/>
      <w:sz w:val="24"/>
      <w:szCs w:val="24"/>
      <w:lang w:eastAsia="en-US"/>
    </w:rPr>
  </w:style>
  <w:style w:type="paragraph" w:styleId="BodyText">
    <w:name w:val="Body Text"/>
    <w:basedOn w:val="Normal"/>
    <w:link w:val="BodyTextChar"/>
    <w:uiPriority w:val="99"/>
    <w:unhideWhenUsed/>
    <w:rsid w:val="00E42197"/>
    <w:pPr>
      <w:spacing w:after="120"/>
    </w:pPr>
  </w:style>
  <w:style w:type="character" w:customStyle="1" w:styleId="BodyTextChar">
    <w:name w:val="Body Text Char"/>
    <w:basedOn w:val="DefaultParagraphFont"/>
    <w:link w:val="BodyText"/>
    <w:uiPriority w:val="99"/>
    <w:rsid w:val="00E42197"/>
    <w:rPr>
      <w:sz w:val="24"/>
      <w:szCs w:val="24"/>
      <w:lang w:eastAsia="en-US"/>
    </w:rPr>
  </w:style>
  <w:style w:type="paragraph" w:customStyle="1" w:styleId="Normal1">
    <w:name w:val="Normal1"/>
    <w:basedOn w:val="Normal"/>
    <w:rsid w:val="00361F8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lt-LT"/>
    </w:rPr>
  </w:style>
  <w:style w:type="character" w:customStyle="1" w:styleId="Heading1Char">
    <w:name w:val="Heading 1 Char"/>
    <w:basedOn w:val="DefaultParagraphFont"/>
    <w:link w:val="Heading1"/>
    <w:uiPriority w:val="9"/>
    <w:rsid w:val="00542633"/>
    <w:rPr>
      <w:rFonts w:asciiTheme="majorHAnsi" w:eastAsiaTheme="majorEastAsia" w:hAnsiTheme="majorHAnsi" w:cstheme="majorBidi"/>
      <w:color w:val="2F759E" w:themeColor="accent1" w:themeShade="BF"/>
      <w:sz w:val="32"/>
      <w:szCs w:val="32"/>
      <w:lang w:eastAsia="en-US"/>
    </w:rPr>
  </w:style>
  <w:style w:type="paragraph" w:styleId="Title">
    <w:name w:val="Title"/>
    <w:basedOn w:val="Normal"/>
    <w:next w:val="Normal"/>
    <w:link w:val="TitleChar"/>
    <w:uiPriority w:val="10"/>
    <w:qFormat/>
    <w:rsid w:val="0054263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2633"/>
    <w:rPr>
      <w:rFonts w:asciiTheme="majorHAnsi" w:eastAsiaTheme="majorEastAsia" w:hAnsiTheme="majorHAnsi" w:cstheme="majorBidi"/>
      <w:spacing w:val="-10"/>
      <w:kern w:val="28"/>
      <w:sz w:val="56"/>
      <w:szCs w:val="56"/>
      <w:lang w:eastAsia="en-US"/>
    </w:rPr>
  </w:style>
  <w:style w:type="character" w:styleId="Strong">
    <w:name w:val="Strong"/>
    <w:basedOn w:val="DefaultParagraphFont"/>
    <w:uiPriority w:val="22"/>
    <w:qFormat/>
    <w:rsid w:val="005426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1553">
      <w:bodyDiv w:val="1"/>
      <w:marLeft w:val="0"/>
      <w:marRight w:val="0"/>
      <w:marTop w:val="0"/>
      <w:marBottom w:val="0"/>
      <w:divBdr>
        <w:top w:val="none" w:sz="0" w:space="0" w:color="auto"/>
        <w:left w:val="none" w:sz="0" w:space="0" w:color="auto"/>
        <w:bottom w:val="none" w:sz="0" w:space="0" w:color="auto"/>
        <w:right w:val="none" w:sz="0" w:space="0" w:color="auto"/>
      </w:divBdr>
    </w:div>
    <w:div w:id="147212859">
      <w:bodyDiv w:val="1"/>
      <w:marLeft w:val="0"/>
      <w:marRight w:val="0"/>
      <w:marTop w:val="0"/>
      <w:marBottom w:val="0"/>
      <w:divBdr>
        <w:top w:val="none" w:sz="0" w:space="0" w:color="auto"/>
        <w:left w:val="none" w:sz="0" w:space="0" w:color="auto"/>
        <w:bottom w:val="none" w:sz="0" w:space="0" w:color="auto"/>
        <w:right w:val="none" w:sz="0" w:space="0" w:color="auto"/>
      </w:divBdr>
    </w:div>
    <w:div w:id="171336110">
      <w:bodyDiv w:val="1"/>
      <w:marLeft w:val="0"/>
      <w:marRight w:val="0"/>
      <w:marTop w:val="0"/>
      <w:marBottom w:val="0"/>
      <w:divBdr>
        <w:top w:val="none" w:sz="0" w:space="0" w:color="auto"/>
        <w:left w:val="none" w:sz="0" w:space="0" w:color="auto"/>
        <w:bottom w:val="none" w:sz="0" w:space="0" w:color="auto"/>
        <w:right w:val="none" w:sz="0" w:space="0" w:color="auto"/>
      </w:divBdr>
      <w:divsChild>
        <w:div w:id="398478935">
          <w:marLeft w:val="0"/>
          <w:marRight w:val="0"/>
          <w:marTop w:val="0"/>
          <w:marBottom w:val="0"/>
          <w:divBdr>
            <w:top w:val="none" w:sz="0" w:space="0" w:color="auto"/>
            <w:left w:val="none" w:sz="0" w:space="0" w:color="auto"/>
            <w:bottom w:val="none" w:sz="0" w:space="0" w:color="auto"/>
            <w:right w:val="none" w:sz="0" w:space="0" w:color="auto"/>
          </w:divBdr>
          <w:divsChild>
            <w:div w:id="1644309434">
              <w:marLeft w:val="0"/>
              <w:marRight w:val="0"/>
              <w:marTop w:val="0"/>
              <w:marBottom w:val="0"/>
              <w:divBdr>
                <w:top w:val="none" w:sz="0" w:space="0" w:color="auto"/>
                <w:left w:val="none" w:sz="0" w:space="0" w:color="auto"/>
                <w:bottom w:val="none" w:sz="0" w:space="0" w:color="auto"/>
                <w:right w:val="none" w:sz="0" w:space="0" w:color="auto"/>
              </w:divBdr>
              <w:divsChild>
                <w:div w:id="18342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60709">
      <w:bodyDiv w:val="1"/>
      <w:marLeft w:val="0"/>
      <w:marRight w:val="0"/>
      <w:marTop w:val="0"/>
      <w:marBottom w:val="0"/>
      <w:divBdr>
        <w:top w:val="none" w:sz="0" w:space="0" w:color="auto"/>
        <w:left w:val="none" w:sz="0" w:space="0" w:color="auto"/>
        <w:bottom w:val="none" w:sz="0" w:space="0" w:color="auto"/>
        <w:right w:val="none" w:sz="0" w:space="0" w:color="auto"/>
      </w:divBdr>
      <w:divsChild>
        <w:div w:id="1457093087">
          <w:marLeft w:val="0"/>
          <w:marRight w:val="0"/>
          <w:marTop w:val="0"/>
          <w:marBottom w:val="0"/>
          <w:divBdr>
            <w:top w:val="none" w:sz="0" w:space="0" w:color="auto"/>
            <w:left w:val="none" w:sz="0" w:space="0" w:color="auto"/>
            <w:bottom w:val="none" w:sz="0" w:space="0" w:color="auto"/>
            <w:right w:val="none" w:sz="0" w:space="0" w:color="auto"/>
          </w:divBdr>
          <w:divsChild>
            <w:div w:id="12004494">
              <w:marLeft w:val="0"/>
              <w:marRight w:val="0"/>
              <w:marTop w:val="0"/>
              <w:marBottom w:val="0"/>
              <w:divBdr>
                <w:top w:val="none" w:sz="0" w:space="0" w:color="auto"/>
                <w:left w:val="none" w:sz="0" w:space="0" w:color="auto"/>
                <w:bottom w:val="none" w:sz="0" w:space="0" w:color="auto"/>
                <w:right w:val="none" w:sz="0" w:space="0" w:color="auto"/>
              </w:divBdr>
              <w:divsChild>
                <w:div w:id="11155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494405">
      <w:bodyDiv w:val="1"/>
      <w:marLeft w:val="0"/>
      <w:marRight w:val="0"/>
      <w:marTop w:val="0"/>
      <w:marBottom w:val="0"/>
      <w:divBdr>
        <w:top w:val="none" w:sz="0" w:space="0" w:color="auto"/>
        <w:left w:val="none" w:sz="0" w:space="0" w:color="auto"/>
        <w:bottom w:val="none" w:sz="0" w:space="0" w:color="auto"/>
        <w:right w:val="none" w:sz="0" w:space="0" w:color="auto"/>
      </w:divBdr>
      <w:divsChild>
        <w:div w:id="1025907180">
          <w:marLeft w:val="0"/>
          <w:marRight w:val="0"/>
          <w:marTop w:val="0"/>
          <w:marBottom w:val="0"/>
          <w:divBdr>
            <w:top w:val="none" w:sz="0" w:space="0" w:color="auto"/>
            <w:left w:val="none" w:sz="0" w:space="0" w:color="auto"/>
            <w:bottom w:val="none" w:sz="0" w:space="0" w:color="auto"/>
            <w:right w:val="none" w:sz="0" w:space="0" w:color="auto"/>
          </w:divBdr>
          <w:divsChild>
            <w:div w:id="2055810776">
              <w:marLeft w:val="0"/>
              <w:marRight w:val="0"/>
              <w:marTop w:val="0"/>
              <w:marBottom w:val="0"/>
              <w:divBdr>
                <w:top w:val="none" w:sz="0" w:space="0" w:color="auto"/>
                <w:left w:val="none" w:sz="0" w:space="0" w:color="auto"/>
                <w:bottom w:val="none" w:sz="0" w:space="0" w:color="auto"/>
                <w:right w:val="none" w:sz="0" w:space="0" w:color="auto"/>
              </w:divBdr>
              <w:divsChild>
                <w:div w:id="174575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632459">
      <w:bodyDiv w:val="1"/>
      <w:marLeft w:val="0"/>
      <w:marRight w:val="0"/>
      <w:marTop w:val="0"/>
      <w:marBottom w:val="0"/>
      <w:divBdr>
        <w:top w:val="none" w:sz="0" w:space="0" w:color="auto"/>
        <w:left w:val="none" w:sz="0" w:space="0" w:color="auto"/>
        <w:bottom w:val="none" w:sz="0" w:space="0" w:color="auto"/>
        <w:right w:val="none" w:sz="0" w:space="0" w:color="auto"/>
      </w:divBdr>
    </w:div>
    <w:div w:id="328023203">
      <w:bodyDiv w:val="1"/>
      <w:marLeft w:val="0"/>
      <w:marRight w:val="0"/>
      <w:marTop w:val="0"/>
      <w:marBottom w:val="0"/>
      <w:divBdr>
        <w:top w:val="none" w:sz="0" w:space="0" w:color="auto"/>
        <w:left w:val="none" w:sz="0" w:space="0" w:color="auto"/>
        <w:bottom w:val="none" w:sz="0" w:space="0" w:color="auto"/>
        <w:right w:val="none" w:sz="0" w:space="0" w:color="auto"/>
      </w:divBdr>
    </w:div>
    <w:div w:id="496379883">
      <w:bodyDiv w:val="1"/>
      <w:marLeft w:val="0"/>
      <w:marRight w:val="0"/>
      <w:marTop w:val="0"/>
      <w:marBottom w:val="0"/>
      <w:divBdr>
        <w:top w:val="none" w:sz="0" w:space="0" w:color="auto"/>
        <w:left w:val="none" w:sz="0" w:space="0" w:color="auto"/>
        <w:bottom w:val="none" w:sz="0" w:space="0" w:color="auto"/>
        <w:right w:val="none" w:sz="0" w:space="0" w:color="auto"/>
      </w:divBdr>
    </w:div>
    <w:div w:id="538738258">
      <w:bodyDiv w:val="1"/>
      <w:marLeft w:val="0"/>
      <w:marRight w:val="0"/>
      <w:marTop w:val="0"/>
      <w:marBottom w:val="0"/>
      <w:divBdr>
        <w:top w:val="none" w:sz="0" w:space="0" w:color="auto"/>
        <w:left w:val="none" w:sz="0" w:space="0" w:color="auto"/>
        <w:bottom w:val="none" w:sz="0" w:space="0" w:color="auto"/>
        <w:right w:val="none" w:sz="0" w:space="0" w:color="auto"/>
      </w:divBdr>
      <w:divsChild>
        <w:div w:id="286082464">
          <w:marLeft w:val="0"/>
          <w:marRight w:val="0"/>
          <w:marTop w:val="0"/>
          <w:marBottom w:val="0"/>
          <w:divBdr>
            <w:top w:val="none" w:sz="0" w:space="0" w:color="auto"/>
            <w:left w:val="none" w:sz="0" w:space="0" w:color="auto"/>
            <w:bottom w:val="none" w:sz="0" w:space="0" w:color="auto"/>
            <w:right w:val="none" w:sz="0" w:space="0" w:color="auto"/>
          </w:divBdr>
        </w:div>
      </w:divsChild>
    </w:div>
    <w:div w:id="592593331">
      <w:bodyDiv w:val="1"/>
      <w:marLeft w:val="0"/>
      <w:marRight w:val="0"/>
      <w:marTop w:val="0"/>
      <w:marBottom w:val="0"/>
      <w:divBdr>
        <w:top w:val="none" w:sz="0" w:space="0" w:color="auto"/>
        <w:left w:val="none" w:sz="0" w:space="0" w:color="auto"/>
        <w:bottom w:val="none" w:sz="0" w:space="0" w:color="auto"/>
        <w:right w:val="none" w:sz="0" w:space="0" w:color="auto"/>
      </w:divBdr>
    </w:div>
    <w:div w:id="777532128">
      <w:bodyDiv w:val="1"/>
      <w:marLeft w:val="0"/>
      <w:marRight w:val="0"/>
      <w:marTop w:val="0"/>
      <w:marBottom w:val="0"/>
      <w:divBdr>
        <w:top w:val="none" w:sz="0" w:space="0" w:color="auto"/>
        <w:left w:val="none" w:sz="0" w:space="0" w:color="auto"/>
        <w:bottom w:val="none" w:sz="0" w:space="0" w:color="auto"/>
        <w:right w:val="none" w:sz="0" w:space="0" w:color="auto"/>
      </w:divBdr>
    </w:div>
    <w:div w:id="789319630">
      <w:bodyDiv w:val="1"/>
      <w:marLeft w:val="0"/>
      <w:marRight w:val="0"/>
      <w:marTop w:val="0"/>
      <w:marBottom w:val="0"/>
      <w:divBdr>
        <w:top w:val="none" w:sz="0" w:space="0" w:color="auto"/>
        <w:left w:val="none" w:sz="0" w:space="0" w:color="auto"/>
        <w:bottom w:val="none" w:sz="0" w:space="0" w:color="auto"/>
        <w:right w:val="none" w:sz="0" w:space="0" w:color="auto"/>
      </w:divBdr>
      <w:divsChild>
        <w:div w:id="2044868766">
          <w:marLeft w:val="0"/>
          <w:marRight w:val="0"/>
          <w:marTop w:val="0"/>
          <w:marBottom w:val="0"/>
          <w:divBdr>
            <w:top w:val="none" w:sz="0" w:space="0" w:color="auto"/>
            <w:left w:val="none" w:sz="0" w:space="0" w:color="auto"/>
            <w:bottom w:val="none" w:sz="0" w:space="0" w:color="auto"/>
            <w:right w:val="none" w:sz="0" w:space="0" w:color="auto"/>
          </w:divBdr>
          <w:divsChild>
            <w:div w:id="756826280">
              <w:marLeft w:val="0"/>
              <w:marRight w:val="0"/>
              <w:marTop w:val="0"/>
              <w:marBottom w:val="0"/>
              <w:divBdr>
                <w:top w:val="none" w:sz="0" w:space="0" w:color="auto"/>
                <w:left w:val="none" w:sz="0" w:space="0" w:color="auto"/>
                <w:bottom w:val="none" w:sz="0" w:space="0" w:color="auto"/>
                <w:right w:val="none" w:sz="0" w:space="0" w:color="auto"/>
              </w:divBdr>
              <w:divsChild>
                <w:div w:id="158021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727822">
      <w:bodyDiv w:val="1"/>
      <w:marLeft w:val="0"/>
      <w:marRight w:val="0"/>
      <w:marTop w:val="0"/>
      <w:marBottom w:val="0"/>
      <w:divBdr>
        <w:top w:val="none" w:sz="0" w:space="0" w:color="auto"/>
        <w:left w:val="none" w:sz="0" w:space="0" w:color="auto"/>
        <w:bottom w:val="none" w:sz="0" w:space="0" w:color="auto"/>
        <w:right w:val="none" w:sz="0" w:space="0" w:color="auto"/>
      </w:divBdr>
      <w:divsChild>
        <w:div w:id="712536817">
          <w:marLeft w:val="0"/>
          <w:marRight w:val="0"/>
          <w:marTop w:val="0"/>
          <w:marBottom w:val="0"/>
          <w:divBdr>
            <w:top w:val="none" w:sz="0" w:space="0" w:color="auto"/>
            <w:left w:val="none" w:sz="0" w:space="0" w:color="auto"/>
            <w:bottom w:val="none" w:sz="0" w:space="0" w:color="auto"/>
            <w:right w:val="none" w:sz="0" w:space="0" w:color="auto"/>
          </w:divBdr>
          <w:divsChild>
            <w:div w:id="2066683937">
              <w:marLeft w:val="0"/>
              <w:marRight w:val="0"/>
              <w:marTop w:val="0"/>
              <w:marBottom w:val="0"/>
              <w:divBdr>
                <w:top w:val="none" w:sz="0" w:space="0" w:color="auto"/>
                <w:left w:val="none" w:sz="0" w:space="0" w:color="auto"/>
                <w:bottom w:val="none" w:sz="0" w:space="0" w:color="auto"/>
                <w:right w:val="none" w:sz="0" w:space="0" w:color="auto"/>
              </w:divBdr>
              <w:divsChild>
                <w:div w:id="1027408170">
                  <w:marLeft w:val="0"/>
                  <w:marRight w:val="0"/>
                  <w:marTop w:val="0"/>
                  <w:marBottom w:val="0"/>
                  <w:divBdr>
                    <w:top w:val="none" w:sz="0" w:space="0" w:color="auto"/>
                    <w:left w:val="none" w:sz="0" w:space="0" w:color="auto"/>
                    <w:bottom w:val="none" w:sz="0" w:space="0" w:color="auto"/>
                    <w:right w:val="none" w:sz="0" w:space="0" w:color="auto"/>
                  </w:divBdr>
                  <w:divsChild>
                    <w:div w:id="679502624">
                      <w:marLeft w:val="0"/>
                      <w:marRight w:val="0"/>
                      <w:marTop w:val="0"/>
                      <w:marBottom w:val="0"/>
                      <w:divBdr>
                        <w:top w:val="none" w:sz="0" w:space="0" w:color="auto"/>
                        <w:left w:val="none" w:sz="0" w:space="0" w:color="auto"/>
                        <w:bottom w:val="none" w:sz="0" w:space="0" w:color="auto"/>
                        <w:right w:val="none" w:sz="0" w:space="0" w:color="auto"/>
                      </w:divBdr>
                    </w:div>
                    <w:div w:id="1926380790">
                      <w:marLeft w:val="0"/>
                      <w:marRight w:val="0"/>
                      <w:marTop w:val="0"/>
                      <w:marBottom w:val="0"/>
                      <w:divBdr>
                        <w:top w:val="none" w:sz="0" w:space="0" w:color="auto"/>
                        <w:left w:val="none" w:sz="0" w:space="0" w:color="auto"/>
                        <w:bottom w:val="none" w:sz="0" w:space="0" w:color="auto"/>
                        <w:right w:val="none" w:sz="0" w:space="0" w:color="auto"/>
                      </w:divBdr>
                    </w:div>
                  </w:divsChild>
                </w:div>
                <w:div w:id="364521078">
                  <w:marLeft w:val="0"/>
                  <w:marRight w:val="0"/>
                  <w:marTop w:val="0"/>
                  <w:marBottom w:val="0"/>
                  <w:divBdr>
                    <w:top w:val="none" w:sz="0" w:space="0" w:color="auto"/>
                    <w:left w:val="none" w:sz="0" w:space="0" w:color="auto"/>
                    <w:bottom w:val="none" w:sz="0" w:space="0" w:color="auto"/>
                    <w:right w:val="none" w:sz="0" w:space="0" w:color="auto"/>
                  </w:divBdr>
                  <w:divsChild>
                    <w:div w:id="723530361">
                      <w:marLeft w:val="0"/>
                      <w:marRight w:val="0"/>
                      <w:marTop w:val="0"/>
                      <w:marBottom w:val="0"/>
                      <w:divBdr>
                        <w:top w:val="none" w:sz="0" w:space="0" w:color="auto"/>
                        <w:left w:val="none" w:sz="0" w:space="0" w:color="auto"/>
                        <w:bottom w:val="none" w:sz="0" w:space="0" w:color="auto"/>
                        <w:right w:val="none" w:sz="0" w:space="0" w:color="auto"/>
                      </w:divBdr>
                    </w:div>
                    <w:div w:id="1396389032">
                      <w:marLeft w:val="0"/>
                      <w:marRight w:val="0"/>
                      <w:marTop w:val="0"/>
                      <w:marBottom w:val="0"/>
                      <w:divBdr>
                        <w:top w:val="none" w:sz="0" w:space="0" w:color="auto"/>
                        <w:left w:val="none" w:sz="0" w:space="0" w:color="auto"/>
                        <w:bottom w:val="none" w:sz="0" w:space="0" w:color="auto"/>
                        <w:right w:val="none" w:sz="0" w:space="0" w:color="auto"/>
                      </w:divBdr>
                    </w:div>
                  </w:divsChild>
                </w:div>
                <w:div w:id="479350549">
                  <w:marLeft w:val="0"/>
                  <w:marRight w:val="0"/>
                  <w:marTop w:val="0"/>
                  <w:marBottom w:val="0"/>
                  <w:divBdr>
                    <w:top w:val="none" w:sz="0" w:space="0" w:color="auto"/>
                    <w:left w:val="none" w:sz="0" w:space="0" w:color="auto"/>
                    <w:bottom w:val="none" w:sz="0" w:space="0" w:color="auto"/>
                    <w:right w:val="none" w:sz="0" w:space="0" w:color="auto"/>
                  </w:divBdr>
                </w:div>
                <w:div w:id="19877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335159">
      <w:bodyDiv w:val="1"/>
      <w:marLeft w:val="0"/>
      <w:marRight w:val="0"/>
      <w:marTop w:val="0"/>
      <w:marBottom w:val="0"/>
      <w:divBdr>
        <w:top w:val="none" w:sz="0" w:space="0" w:color="auto"/>
        <w:left w:val="none" w:sz="0" w:space="0" w:color="auto"/>
        <w:bottom w:val="none" w:sz="0" w:space="0" w:color="auto"/>
        <w:right w:val="none" w:sz="0" w:space="0" w:color="auto"/>
      </w:divBdr>
    </w:div>
    <w:div w:id="1078013945">
      <w:bodyDiv w:val="1"/>
      <w:marLeft w:val="0"/>
      <w:marRight w:val="0"/>
      <w:marTop w:val="0"/>
      <w:marBottom w:val="0"/>
      <w:divBdr>
        <w:top w:val="none" w:sz="0" w:space="0" w:color="auto"/>
        <w:left w:val="none" w:sz="0" w:space="0" w:color="auto"/>
        <w:bottom w:val="none" w:sz="0" w:space="0" w:color="auto"/>
        <w:right w:val="none" w:sz="0" w:space="0" w:color="auto"/>
      </w:divBdr>
    </w:div>
    <w:div w:id="1298990114">
      <w:bodyDiv w:val="1"/>
      <w:marLeft w:val="0"/>
      <w:marRight w:val="0"/>
      <w:marTop w:val="0"/>
      <w:marBottom w:val="0"/>
      <w:divBdr>
        <w:top w:val="none" w:sz="0" w:space="0" w:color="auto"/>
        <w:left w:val="none" w:sz="0" w:space="0" w:color="auto"/>
        <w:bottom w:val="none" w:sz="0" w:space="0" w:color="auto"/>
        <w:right w:val="none" w:sz="0" w:space="0" w:color="auto"/>
      </w:divBdr>
    </w:div>
    <w:div w:id="1331059535">
      <w:bodyDiv w:val="1"/>
      <w:marLeft w:val="0"/>
      <w:marRight w:val="0"/>
      <w:marTop w:val="0"/>
      <w:marBottom w:val="0"/>
      <w:divBdr>
        <w:top w:val="none" w:sz="0" w:space="0" w:color="auto"/>
        <w:left w:val="none" w:sz="0" w:space="0" w:color="auto"/>
        <w:bottom w:val="none" w:sz="0" w:space="0" w:color="auto"/>
        <w:right w:val="none" w:sz="0" w:space="0" w:color="auto"/>
      </w:divBdr>
      <w:divsChild>
        <w:div w:id="806780448">
          <w:marLeft w:val="0"/>
          <w:marRight w:val="0"/>
          <w:marTop w:val="0"/>
          <w:marBottom w:val="0"/>
          <w:divBdr>
            <w:top w:val="none" w:sz="0" w:space="0" w:color="auto"/>
            <w:left w:val="none" w:sz="0" w:space="0" w:color="auto"/>
            <w:bottom w:val="none" w:sz="0" w:space="0" w:color="auto"/>
            <w:right w:val="none" w:sz="0" w:space="0" w:color="auto"/>
          </w:divBdr>
          <w:divsChild>
            <w:div w:id="1858692064">
              <w:marLeft w:val="0"/>
              <w:marRight w:val="0"/>
              <w:marTop w:val="0"/>
              <w:marBottom w:val="0"/>
              <w:divBdr>
                <w:top w:val="none" w:sz="0" w:space="0" w:color="auto"/>
                <w:left w:val="none" w:sz="0" w:space="0" w:color="auto"/>
                <w:bottom w:val="none" w:sz="0" w:space="0" w:color="auto"/>
                <w:right w:val="none" w:sz="0" w:space="0" w:color="auto"/>
              </w:divBdr>
              <w:divsChild>
                <w:div w:id="183660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005175">
      <w:bodyDiv w:val="1"/>
      <w:marLeft w:val="0"/>
      <w:marRight w:val="0"/>
      <w:marTop w:val="0"/>
      <w:marBottom w:val="0"/>
      <w:divBdr>
        <w:top w:val="none" w:sz="0" w:space="0" w:color="auto"/>
        <w:left w:val="none" w:sz="0" w:space="0" w:color="auto"/>
        <w:bottom w:val="none" w:sz="0" w:space="0" w:color="auto"/>
        <w:right w:val="none" w:sz="0" w:space="0" w:color="auto"/>
      </w:divBdr>
      <w:divsChild>
        <w:div w:id="1913731678">
          <w:marLeft w:val="0"/>
          <w:marRight w:val="0"/>
          <w:marTop w:val="0"/>
          <w:marBottom w:val="0"/>
          <w:divBdr>
            <w:top w:val="none" w:sz="0" w:space="0" w:color="auto"/>
            <w:left w:val="none" w:sz="0" w:space="0" w:color="auto"/>
            <w:bottom w:val="none" w:sz="0" w:space="0" w:color="auto"/>
            <w:right w:val="none" w:sz="0" w:space="0" w:color="auto"/>
          </w:divBdr>
          <w:divsChild>
            <w:div w:id="707266186">
              <w:marLeft w:val="0"/>
              <w:marRight w:val="0"/>
              <w:marTop w:val="0"/>
              <w:marBottom w:val="0"/>
              <w:divBdr>
                <w:top w:val="none" w:sz="0" w:space="0" w:color="auto"/>
                <w:left w:val="none" w:sz="0" w:space="0" w:color="auto"/>
                <w:bottom w:val="none" w:sz="0" w:space="0" w:color="auto"/>
                <w:right w:val="none" w:sz="0" w:space="0" w:color="auto"/>
              </w:divBdr>
              <w:divsChild>
                <w:div w:id="91917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860036">
      <w:bodyDiv w:val="1"/>
      <w:marLeft w:val="0"/>
      <w:marRight w:val="0"/>
      <w:marTop w:val="0"/>
      <w:marBottom w:val="0"/>
      <w:divBdr>
        <w:top w:val="none" w:sz="0" w:space="0" w:color="auto"/>
        <w:left w:val="none" w:sz="0" w:space="0" w:color="auto"/>
        <w:bottom w:val="none" w:sz="0" w:space="0" w:color="auto"/>
        <w:right w:val="none" w:sz="0" w:space="0" w:color="auto"/>
      </w:divBdr>
    </w:div>
    <w:div w:id="1545485555">
      <w:bodyDiv w:val="1"/>
      <w:marLeft w:val="0"/>
      <w:marRight w:val="0"/>
      <w:marTop w:val="0"/>
      <w:marBottom w:val="0"/>
      <w:divBdr>
        <w:top w:val="none" w:sz="0" w:space="0" w:color="auto"/>
        <w:left w:val="none" w:sz="0" w:space="0" w:color="auto"/>
        <w:bottom w:val="none" w:sz="0" w:space="0" w:color="auto"/>
        <w:right w:val="none" w:sz="0" w:space="0" w:color="auto"/>
      </w:divBdr>
      <w:divsChild>
        <w:div w:id="859702905">
          <w:marLeft w:val="0"/>
          <w:marRight w:val="0"/>
          <w:marTop w:val="0"/>
          <w:marBottom w:val="0"/>
          <w:divBdr>
            <w:top w:val="none" w:sz="0" w:space="0" w:color="auto"/>
            <w:left w:val="none" w:sz="0" w:space="0" w:color="auto"/>
            <w:bottom w:val="none" w:sz="0" w:space="0" w:color="auto"/>
            <w:right w:val="none" w:sz="0" w:space="0" w:color="auto"/>
          </w:divBdr>
          <w:divsChild>
            <w:div w:id="1020087079">
              <w:marLeft w:val="0"/>
              <w:marRight w:val="0"/>
              <w:marTop w:val="0"/>
              <w:marBottom w:val="0"/>
              <w:divBdr>
                <w:top w:val="none" w:sz="0" w:space="0" w:color="auto"/>
                <w:left w:val="none" w:sz="0" w:space="0" w:color="auto"/>
                <w:bottom w:val="none" w:sz="0" w:space="0" w:color="auto"/>
                <w:right w:val="none" w:sz="0" w:space="0" w:color="auto"/>
              </w:divBdr>
              <w:divsChild>
                <w:div w:id="191269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96531">
      <w:bodyDiv w:val="1"/>
      <w:marLeft w:val="0"/>
      <w:marRight w:val="0"/>
      <w:marTop w:val="0"/>
      <w:marBottom w:val="0"/>
      <w:divBdr>
        <w:top w:val="none" w:sz="0" w:space="0" w:color="auto"/>
        <w:left w:val="none" w:sz="0" w:space="0" w:color="auto"/>
        <w:bottom w:val="none" w:sz="0" w:space="0" w:color="auto"/>
        <w:right w:val="none" w:sz="0" w:space="0" w:color="auto"/>
      </w:divBdr>
    </w:div>
    <w:div w:id="1833325622">
      <w:bodyDiv w:val="1"/>
      <w:marLeft w:val="0"/>
      <w:marRight w:val="0"/>
      <w:marTop w:val="0"/>
      <w:marBottom w:val="0"/>
      <w:divBdr>
        <w:top w:val="none" w:sz="0" w:space="0" w:color="auto"/>
        <w:left w:val="none" w:sz="0" w:space="0" w:color="auto"/>
        <w:bottom w:val="none" w:sz="0" w:space="0" w:color="auto"/>
        <w:right w:val="none" w:sz="0" w:space="0" w:color="auto"/>
      </w:divBdr>
    </w:div>
    <w:div w:id="1933396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lering.ee/en/node/1248"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ambergrid.lt/en/transportation-services/transmissionnetworkcode" TargetMode="External"/><Relationship Id="rId2" Type="http://schemas.openxmlformats.org/officeDocument/2006/relationships/hyperlink" Target="https://eur-lex.europa.eu/legal-content/EN/TXT/?uri=CELEX:02009R0715-20150525" TargetMode="External"/><Relationship Id="rId1" Type="http://schemas.openxmlformats.org/officeDocument/2006/relationships/hyperlink" Target="https://www.entsog.eu/energy-identification-codes-eic"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EF233-D24E-4B31-B1A0-EF7ED79C9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A91C7F2-5156-4CF7-819B-F63BD7DB1F12}">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35BB2888-BD7C-4BF6-9899-DF469640E865}">
  <ds:schemaRefs>
    <ds:schemaRef ds:uri="http://schemas.microsoft.com/sharepoint/v3/contenttype/forms"/>
  </ds:schemaRefs>
</ds:datastoreItem>
</file>

<file path=customXml/itemProps4.xml><?xml version="1.0" encoding="utf-8"?>
<ds:datastoreItem xmlns:ds="http://schemas.openxmlformats.org/officeDocument/2006/customXml" ds:itemID="{46A8B15D-6532-4EB3-84DD-F9C5FC408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11772</Words>
  <Characters>67105</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Rimas Valungevičius</dc:creator>
  <cp:lastModifiedBy>Janis Skubenics</cp:lastModifiedBy>
  <cp:revision>2</cp:revision>
  <cp:lastPrinted>2019-05-27T06:57:00Z</cp:lastPrinted>
  <dcterms:created xsi:type="dcterms:W3CDTF">2019-05-28T11:53:00Z</dcterms:created>
  <dcterms:modified xsi:type="dcterms:W3CDTF">2019-05-28T11:53:00Z</dcterms:modified>
</cp:coreProperties>
</file>