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6562" w14:textId="788BEE36" w:rsidR="002277A1" w:rsidRPr="0032703C" w:rsidRDefault="0032703C" w:rsidP="0032703C">
      <w:pPr>
        <w:jc w:val="center"/>
        <w:rPr>
          <w:sz w:val="22"/>
          <w:szCs w:val="22"/>
          <w:lang w:val="en-US"/>
        </w:rPr>
      </w:pPr>
      <w:r w:rsidRPr="0032703C">
        <w:rPr>
          <w:sz w:val="22"/>
          <w:szCs w:val="22"/>
          <w:lang w:val="en-US"/>
        </w:rPr>
        <w:t>Answers to comments received during public consultations</w:t>
      </w:r>
      <w:r w:rsidR="00422490">
        <w:rPr>
          <w:sz w:val="22"/>
          <w:szCs w:val="22"/>
          <w:lang w:val="en-US"/>
        </w:rPr>
        <w:t xml:space="preserve"> regarding</w:t>
      </w:r>
      <w:r w:rsidR="000A72FF">
        <w:rPr>
          <w:sz w:val="22"/>
          <w:szCs w:val="22"/>
          <w:lang w:val="en-US"/>
        </w:rPr>
        <w:t xml:space="preserve"> </w:t>
      </w:r>
      <w:r w:rsidR="000A72FF" w:rsidRPr="000A72FF">
        <w:rPr>
          <w:sz w:val="22"/>
          <w:szCs w:val="22"/>
          <w:lang w:val="en-US"/>
        </w:rPr>
        <w:t>to the Common Regulations for the Natural Gas Balancing of Transmission System</w:t>
      </w:r>
      <w:r w:rsidRPr="0032703C">
        <w:rPr>
          <w:sz w:val="22"/>
          <w:szCs w:val="22"/>
          <w:lang w:val="en-US"/>
        </w:rPr>
        <w:t xml:space="preserve"> </w:t>
      </w:r>
      <w:r w:rsidRPr="000A72FF">
        <w:rPr>
          <w:sz w:val="22"/>
          <w:szCs w:val="22"/>
          <w:lang w:val="en-US"/>
        </w:rPr>
        <w:t>(</w:t>
      </w:r>
      <w:r w:rsidR="000A72FF" w:rsidRPr="000A72FF">
        <w:rPr>
          <w:sz w:val="22"/>
          <w:szCs w:val="22"/>
          <w:lang w:val="en-US"/>
        </w:rPr>
        <w:t>23</w:t>
      </w:r>
      <w:r w:rsidRPr="000A72FF">
        <w:rPr>
          <w:sz w:val="22"/>
          <w:szCs w:val="22"/>
          <w:lang w:val="en-US"/>
        </w:rPr>
        <w:t>.0</w:t>
      </w:r>
      <w:r w:rsidR="000A72FF" w:rsidRPr="000A72FF">
        <w:rPr>
          <w:sz w:val="22"/>
          <w:szCs w:val="22"/>
          <w:lang w:val="en-US"/>
        </w:rPr>
        <w:t>4</w:t>
      </w:r>
      <w:r w:rsidRPr="000A72FF">
        <w:rPr>
          <w:sz w:val="22"/>
          <w:szCs w:val="22"/>
          <w:lang w:val="en-US"/>
        </w:rPr>
        <w:t>.202</w:t>
      </w:r>
      <w:r w:rsidR="000A72FF" w:rsidRPr="000A72FF">
        <w:rPr>
          <w:sz w:val="22"/>
          <w:szCs w:val="22"/>
          <w:lang w:val="en-US"/>
        </w:rPr>
        <w:t>6</w:t>
      </w:r>
      <w:r w:rsidRPr="000A72FF">
        <w:rPr>
          <w:sz w:val="22"/>
          <w:szCs w:val="22"/>
          <w:lang w:val="en-US"/>
        </w:rPr>
        <w:t>-</w:t>
      </w:r>
      <w:r w:rsidR="000A72FF" w:rsidRPr="000A72FF">
        <w:rPr>
          <w:sz w:val="22"/>
          <w:szCs w:val="22"/>
          <w:lang w:val="en-US"/>
        </w:rPr>
        <w:t>23</w:t>
      </w:r>
      <w:r w:rsidRPr="000A72FF">
        <w:rPr>
          <w:sz w:val="22"/>
          <w:szCs w:val="22"/>
          <w:lang w:val="en-US"/>
        </w:rPr>
        <w:t>.0</w:t>
      </w:r>
      <w:r w:rsidR="000A72FF" w:rsidRPr="000A72FF">
        <w:rPr>
          <w:sz w:val="22"/>
          <w:szCs w:val="22"/>
          <w:lang w:val="en-US"/>
        </w:rPr>
        <w:t>5</w:t>
      </w:r>
      <w:r w:rsidRPr="000A72FF">
        <w:rPr>
          <w:sz w:val="22"/>
          <w:szCs w:val="22"/>
          <w:lang w:val="en-US"/>
        </w:rPr>
        <w:t>.202</w:t>
      </w:r>
      <w:r w:rsidR="000A72FF" w:rsidRPr="000A72FF">
        <w:rPr>
          <w:sz w:val="22"/>
          <w:szCs w:val="22"/>
          <w:lang w:val="en-US"/>
        </w:rPr>
        <w:t>6</w:t>
      </w:r>
      <w:r w:rsidRPr="000A72FF">
        <w:rPr>
          <w:sz w:val="22"/>
          <w:szCs w:val="22"/>
          <w:lang w:val="en-US"/>
        </w:rPr>
        <w:t>)</w:t>
      </w:r>
    </w:p>
    <w:p w14:paraId="71D66AE8" w14:textId="77777777" w:rsidR="0032703C" w:rsidRPr="0032703C" w:rsidRDefault="0032703C" w:rsidP="0032703C">
      <w:pPr>
        <w:jc w:val="center"/>
        <w:rPr>
          <w:sz w:val="22"/>
          <w:szCs w:val="22"/>
          <w:lang w:val="en-US"/>
        </w:rPr>
      </w:pPr>
    </w:p>
    <w:p w14:paraId="519249D1" w14:textId="77777777" w:rsidR="0032703C" w:rsidRPr="0032703C" w:rsidRDefault="0032703C" w:rsidP="0032703C">
      <w:pPr>
        <w:jc w:val="center"/>
        <w:rPr>
          <w:sz w:val="22"/>
          <w:szCs w:val="22"/>
          <w:lang w:val="en-US"/>
        </w:rPr>
      </w:pPr>
    </w:p>
    <w:tbl>
      <w:tblPr>
        <w:tblStyle w:val="TableGrid"/>
        <w:tblW w:w="10485" w:type="dxa"/>
        <w:tblLook w:val="04A0" w:firstRow="1" w:lastRow="0" w:firstColumn="1" w:lastColumn="0" w:noHBand="0" w:noVBand="1"/>
      </w:tblPr>
      <w:tblGrid>
        <w:gridCol w:w="693"/>
        <w:gridCol w:w="3271"/>
        <w:gridCol w:w="2552"/>
        <w:gridCol w:w="3969"/>
      </w:tblGrid>
      <w:tr w:rsidR="00A01163" w:rsidRPr="0032703C" w14:paraId="7BA26896" w14:textId="77777777" w:rsidTr="00A01163">
        <w:tc>
          <w:tcPr>
            <w:tcW w:w="693" w:type="dxa"/>
          </w:tcPr>
          <w:p w14:paraId="2F3132C3" w14:textId="097F24A2" w:rsidR="00A01163" w:rsidRPr="0032703C" w:rsidRDefault="00A01163" w:rsidP="0032703C">
            <w:pPr>
              <w:rPr>
                <w:b/>
                <w:bCs/>
                <w:sz w:val="20"/>
                <w:szCs w:val="20"/>
                <w:lang w:val="en-US"/>
              </w:rPr>
            </w:pPr>
            <w:r w:rsidRPr="0032703C">
              <w:rPr>
                <w:b/>
                <w:bCs/>
                <w:sz w:val="20"/>
                <w:szCs w:val="20"/>
                <w:lang w:val="en-US"/>
              </w:rPr>
              <w:t>Nr.</w:t>
            </w:r>
          </w:p>
        </w:tc>
        <w:tc>
          <w:tcPr>
            <w:tcW w:w="3271" w:type="dxa"/>
          </w:tcPr>
          <w:p w14:paraId="0D753557" w14:textId="403612C9" w:rsidR="00A01163" w:rsidRPr="0032703C" w:rsidRDefault="00A01163" w:rsidP="0032703C">
            <w:pPr>
              <w:rPr>
                <w:b/>
                <w:bCs/>
                <w:sz w:val="20"/>
                <w:szCs w:val="20"/>
                <w:lang w:val="en-US"/>
              </w:rPr>
            </w:pPr>
            <w:r w:rsidRPr="0032703C">
              <w:rPr>
                <w:b/>
                <w:bCs/>
                <w:sz w:val="20"/>
                <w:szCs w:val="20"/>
                <w:lang w:val="en-US"/>
              </w:rPr>
              <w:t xml:space="preserve">Related paragraph from </w:t>
            </w:r>
            <w:r>
              <w:rPr>
                <w:b/>
                <w:bCs/>
                <w:sz w:val="20"/>
                <w:szCs w:val="20"/>
                <w:lang w:val="en-US"/>
              </w:rPr>
              <w:t>Regulation</w:t>
            </w:r>
          </w:p>
        </w:tc>
        <w:tc>
          <w:tcPr>
            <w:tcW w:w="2552" w:type="dxa"/>
          </w:tcPr>
          <w:p w14:paraId="648BFD8E" w14:textId="5F70524D" w:rsidR="00A01163" w:rsidRPr="0032703C" w:rsidRDefault="00A01163" w:rsidP="0032703C">
            <w:pPr>
              <w:rPr>
                <w:b/>
                <w:bCs/>
                <w:sz w:val="20"/>
                <w:szCs w:val="20"/>
                <w:lang w:val="en-US"/>
              </w:rPr>
            </w:pPr>
            <w:r w:rsidRPr="0032703C">
              <w:rPr>
                <w:b/>
                <w:bCs/>
                <w:sz w:val="20"/>
                <w:szCs w:val="20"/>
                <w:lang w:val="en-US"/>
              </w:rPr>
              <w:t>Question/ Comment</w:t>
            </w:r>
          </w:p>
        </w:tc>
        <w:tc>
          <w:tcPr>
            <w:tcW w:w="3969" w:type="dxa"/>
          </w:tcPr>
          <w:p w14:paraId="1912A721" w14:textId="114857ED" w:rsidR="00A01163" w:rsidRPr="0032703C" w:rsidRDefault="00A01163" w:rsidP="0032703C">
            <w:pPr>
              <w:rPr>
                <w:b/>
                <w:bCs/>
                <w:sz w:val="20"/>
                <w:szCs w:val="20"/>
                <w:lang w:val="en-US"/>
              </w:rPr>
            </w:pPr>
            <w:r w:rsidRPr="0032703C">
              <w:rPr>
                <w:b/>
                <w:bCs/>
                <w:sz w:val="20"/>
                <w:szCs w:val="20"/>
                <w:lang w:val="en-US"/>
              </w:rPr>
              <w:t>Response</w:t>
            </w:r>
          </w:p>
        </w:tc>
      </w:tr>
      <w:tr w:rsidR="00A01163" w:rsidRPr="0032703C" w14:paraId="11FA459B" w14:textId="77777777" w:rsidTr="00A01163">
        <w:tc>
          <w:tcPr>
            <w:tcW w:w="693" w:type="dxa"/>
          </w:tcPr>
          <w:p w14:paraId="20934D43" w14:textId="61EDA876" w:rsidR="00A01163" w:rsidRPr="00143D22" w:rsidRDefault="00A01163" w:rsidP="0032703C">
            <w:pPr>
              <w:rPr>
                <w:sz w:val="20"/>
                <w:szCs w:val="20"/>
                <w:lang w:val="en-US"/>
              </w:rPr>
            </w:pPr>
            <w:r w:rsidRPr="00143D22">
              <w:rPr>
                <w:sz w:val="20"/>
                <w:szCs w:val="20"/>
                <w:lang w:val="en-US"/>
              </w:rPr>
              <w:t>1</w:t>
            </w:r>
          </w:p>
        </w:tc>
        <w:tc>
          <w:tcPr>
            <w:tcW w:w="3271" w:type="dxa"/>
          </w:tcPr>
          <w:p w14:paraId="4E07C61A" w14:textId="004A80B7" w:rsidR="00A01163" w:rsidRPr="00143D22" w:rsidRDefault="00A01163" w:rsidP="00C109CC">
            <w:pPr>
              <w:rPr>
                <w:sz w:val="20"/>
                <w:szCs w:val="20"/>
                <w:lang w:val="en-US"/>
              </w:rPr>
            </w:pPr>
            <w:r w:rsidRPr="00880322">
              <w:rPr>
                <w:sz w:val="20"/>
                <w:szCs w:val="20"/>
                <w:lang w:val="en-US"/>
              </w:rPr>
              <w:t>Section 11 “Invoicing and payments”.</w:t>
            </w:r>
          </w:p>
        </w:tc>
        <w:tc>
          <w:tcPr>
            <w:tcW w:w="2552" w:type="dxa"/>
          </w:tcPr>
          <w:p w14:paraId="4A4CD56C" w14:textId="07CC85C0" w:rsidR="00A01163" w:rsidRPr="00880322" w:rsidRDefault="00A01163" w:rsidP="00880322">
            <w:pPr>
              <w:rPr>
                <w:sz w:val="20"/>
                <w:szCs w:val="20"/>
                <w:lang w:val="en-US"/>
              </w:rPr>
            </w:pPr>
            <w:r w:rsidRPr="00880322">
              <w:rPr>
                <w:sz w:val="20"/>
                <w:szCs w:val="20"/>
                <w:lang w:val="en-US"/>
              </w:rPr>
              <w:t>We propose amending the deadline for issuing and uploading invoices and self-billed invoices from the 12th day of the month following the reporting period to 10 calendar days after the end of the reporting period.</w:t>
            </w:r>
            <w:r>
              <w:rPr>
                <w:sz w:val="20"/>
                <w:szCs w:val="20"/>
                <w:lang w:val="en-US"/>
              </w:rPr>
              <w:t xml:space="preserve"> </w:t>
            </w:r>
            <w:r w:rsidRPr="00880322">
              <w:rPr>
                <w:sz w:val="20"/>
                <w:szCs w:val="20"/>
                <w:lang w:val="en-US"/>
              </w:rPr>
              <w:t>The current deadline appears unnecessarily long from the perspective of gas suppliers and end consumers. Until the imbalance gas invoices or self-billed invoices have been issued, gas suppliers are unable to finalise their monthly settlement calculations. As a result, the issuance of invoices to end customers is also delayed.</w:t>
            </w:r>
          </w:p>
          <w:p w14:paraId="1B47A738" w14:textId="1F93F70B" w:rsidR="00A01163" w:rsidRPr="00143D22" w:rsidRDefault="00A01163" w:rsidP="00C109CC">
            <w:pPr>
              <w:rPr>
                <w:sz w:val="20"/>
                <w:szCs w:val="20"/>
                <w:lang w:val="en-US"/>
              </w:rPr>
            </w:pPr>
          </w:p>
        </w:tc>
        <w:tc>
          <w:tcPr>
            <w:tcW w:w="3969" w:type="dxa"/>
          </w:tcPr>
          <w:p w14:paraId="74D8652E" w14:textId="3C6B9F8A" w:rsidR="00A01163" w:rsidRPr="00CA3781" w:rsidRDefault="00A01163" w:rsidP="00CA3781">
            <w:pPr>
              <w:rPr>
                <w:sz w:val="20"/>
                <w:szCs w:val="20"/>
                <w:lang w:val="en-US"/>
              </w:rPr>
            </w:pPr>
            <w:r w:rsidRPr="00CA3781">
              <w:rPr>
                <w:sz w:val="20"/>
                <w:szCs w:val="20"/>
                <w:lang w:val="en-US"/>
              </w:rPr>
              <w:t xml:space="preserve">Invoices </w:t>
            </w:r>
            <w:r>
              <w:rPr>
                <w:sz w:val="20"/>
                <w:szCs w:val="20"/>
                <w:lang w:val="en-US"/>
              </w:rPr>
              <w:t xml:space="preserve">and self-billed invoices </w:t>
            </w:r>
            <w:r w:rsidRPr="00CA3781">
              <w:rPr>
                <w:sz w:val="20"/>
                <w:szCs w:val="20"/>
                <w:lang w:val="en-US"/>
              </w:rPr>
              <w:t>for the imbalance charge and the neutrality charge in the Estonian–Latvian common balancing zone are prepared jointly by the transmission system operators Elering AS and Conexus Baltic Grid.</w:t>
            </w:r>
          </w:p>
          <w:p w14:paraId="2CAE7FE3" w14:textId="77777777" w:rsidR="00A01163" w:rsidRPr="00CA3781" w:rsidRDefault="00A01163" w:rsidP="00CA3781">
            <w:pPr>
              <w:rPr>
                <w:sz w:val="20"/>
                <w:szCs w:val="20"/>
                <w:lang w:val="en-US"/>
              </w:rPr>
            </w:pPr>
          </w:p>
          <w:p w14:paraId="3D6CE9C7" w14:textId="77777777" w:rsidR="00A01163" w:rsidRPr="00CA3781" w:rsidRDefault="00A01163" w:rsidP="00CA3781">
            <w:pPr>
              <w:rPr>
                <w:sz w:val="20"/>
                <w:szCs w:val="20"/>
                <w:lang w:val="en-US"/>
              </w:rPr>
            </w:pPr>
            <w:r w:rsidRPr="00CA3781">
              <w:rPr>
                <w:sz w:val="20"/>
                <w:szCs w:val="20"/>
                <w:lang w:val="en-US"/>
              </w:rPr>
              <w:t>The invoices are based on settlement calculations, which in turn are based on the final allocation of inputs, off-takes, and virtual trading point transfers for the delivery month at all relevant interconnection points within the common balancing zone.</w:t>
            </w:r>
          </w:p>
          <w:p w14:paraId="1651479E" w14:textId="77777777" w:rsidR="00A01163" w:rsidRPr="00CA3781" w:rsidRDefault="00A01163" w:rsidP="00CA3781">
            <w:pPr>
              <w:rPr>
                <w:sz w:val="20"/>
                <w:szCs w:val="20"/>
                <w:lang w:val="en-US"/>
              </w:rPr>
            </w:pPr>
          </w:p>
          <w:p w14:paraId="47354773" w14:textId="77777777" w:rsidR="00A01163" w:rsidRPr="00CA3781" w:rsidRDefault="00A01163" w:rsidP="00CA3781">
            <w:pPr>
              <w:rPr>
                <w:sz w:val="20"/>
                <w:szCs w:val="20"/>
                <w:lang w:val="en-US"/>
              </w:rPr>
            </w:pPr>
            <w:r w:rsidRPr="00CA3781">
              <w:rPr>
                <w:sz w:val="20"/>
                <w:szCs w:val="20"/>
                <w:lang w:val="en-US"/>
              </w:rPr>
              <w:t>According to the Estonian Network Code on the Functioning of the Gas Market, the network operator submits the final metering data for gas consumption and production quantities for each metering point to the Data Hub by the 7th day of each month. Thereafter, the Estonian consumption and production data are aggregated and allocated among balance responsible party portfolios.</w:t>
            </w:r>
          </w:p>
          <w:p w14:paraId="6202D274" w14:textId="77777777" w:rsidR="00A01163" w:rsidRPr="00CA3781" w:rsidRDefault="00A01163" w:rsidP="00CA3781">
            <w:pPr>
              <w:rPr>
                <w:sz w:val="20"/>
                <w:szCs w:val="20"/>
                <w:lang w:val="en-US"/>
              </w:rPr>
            </w:pPr>
          </w:p>
          <w:p w14:paraId="21509784" w14:textId="0271FA40" w:rsidR="00A01163" w:rsidRPr="00CA3781" w:rsidRDefault="00A01163" w:rsidP="00CA3781">
            <w:pPr>
              <w:rPr>
                <w:sz w:val="20"/>
                <w:szCs w:val="20"/>
                <w:lang w:val="en-US"/>
              </w:rPr>
            </w:pPr>
            <w:r w:rsidRPr="00CA3781">
              <w:rPr>
                <w:sz w:val="20"/>
                <w:szCs w:val="20"/>
                <w:lang w:val="en-US"/>
              </w:rPr>
              <w:t>Latvian exit consumption data for the previous month are received on the 5th business day of the current month, while the Estonian data are available by the 8th day of the month</w:t>
            </w:r>
            <w:r>
              <w:rPr>
                <w:sz w:val="20"/>
                <w:szCs w:val="20"/>
                <w:lang w:val="en-US"/>
              </w:rPr>
              <w:t xml:space="preserve"> (after the data </w:t>
            </w:r>
            <w:r w:rsidRPr="00CA3781">
              <w:rPr>
                <w:sz w:val="20"/>
                <w:szCs w:val="20"/>
                <w:lang w:val="en-US"/>
              </w:rPr>
              <w:t>aggregat</w:t>
            </w:r>
            <w:r>
              <w:rPr>
                <w:sz w:val="20"/>
                <w:szCs w:val="20"/>
                <w:lang w:val="en-US"/>
              </w:rPr>
              <w:t xml:space="preserve">ion). </w:t>
            </w:r>
            <w:r w:rsidRPr="00CA3781">
              <w:rPr>
                <w:sz w:val="20"/>
                <w:szCs w:val="20"/>
                <w:lang w:val="en-US"/>
              </w:rPr>
              <w:t xml:space="preserve">Before the settlement process can be finalized, recalculations for </w:t>
            </w:r>
            <w:r>
              <w:rPr>
                <w:sz w:val="20"/>
                <w:szCs w:val="20"/>
                <w:lang w:val="en-US"/>
              </w:rPr>
              <w:t>correction</w:t>
            </w:r>
            <w:r w:rsidRPr="00CA3781">
              <w:rPr>
                <w:sz w:val="20"/>
                <w:szCs w:val="20"/>
                <w:lang w:val="en-US"/>
              </w:rPr>
              <w:t xml:space="preserve"> periods must also be performed and the neutrality charge must be determined. These recalculations and verification procedures take approximately 1–2 business days.</w:t>
            </w:r>
          </w:p>
          <w:p w14:paraId="2BD16198" w14:textId="77777777" w:rsidR="00A01163" w:rsidRPr="00CA3781" w:rsidRDefault="00A01163" w:rsidP="00CA3781">
            <w:pPr>
              <w:rPr>
                <w:sz w:val="20"/>
                <w:szCs w:val="20"/>
                <w:lang w:val="en-US"/>
              </w:rPr>
            </w:pPr>
          </w:p>
          <w:p w14:paraId="7E39FF0B" w14:textId="1A99D85E" w:rsidR="00A01163" w:rsidRPr="00143D22" w:rsidRDefault="00A01163" w:rsidP="00CA3781">
            <w:pPr>
              <w:rPr>
                <w:sz w:val="20"/>
                <w:szCs w:val="20"/>
                <w:lang w:val="en-US"/>
              </w:rPr>
            </w:pPr>
            <w:r w:rsidRPr="00CA3781">
              <w:rPr>
                <w:sz w:val="20"/>
                <w:szCs w:val="20"/>
                <w:lang w:val="en-US"/>
              </w:rPr>
              <w:t>Therefore, in order to ensure the timely and accurate issuance of invoices, the invoice issuance deadline has been set as the 12th day of the month.</w:t>
            </w:r>
          </w:p>
        </w:tc>
      </w:tr>
    </w:tbl>
    <w:p w14:paraId="0C9172C8" w14:textId="77777777" w:rsidR="0032703C" w:rsidRPr="0032703C" w:rsidRDefault="0032703C" w:rsidP="0032703C">
      <w:pPr>
        <w:jc w:val="center"/>
        <w:rPr>
          <w:sz w:val="22"/>
          <w:szCs w:val="22"/>
        </w:rPr>
      </w:pPr>
    </w:p>
    <w:sectPr w:rsidR="0032703C" w:rsidRPr="0032703C" w:rsidSect="003270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77"/>
    <w:rsid w:val="00035693"/>
    <w:rsid w:val="000608DA"/>
    <w:rsid w:val="000A72FF"/>
    <w:rsid w:val="00114D8C"/>
    <w:rsid w:val="00143D22"/>
    <w:rsid w:val="001460E5"/>
    <w:rsid w:val="00177A77"/>
    <w:rsid w:val="002277A1"/>
    <w:rsid w:val="002F2B57"/>
    <w:rsid w:val="0032703C"/>
    <w:rsid w:val="003B29D4"/>
    <w:rsid w:val="00422490"/>
    <w:rsid w:val="005605C6"/>
    <w:rsid w:val="00635177"/>
    <w:rsid w:val="00766287"/>
    <w:rsid w:val="007B097B"/>
    <w:rsid w:val="007D4C5B"/>
    <w:rsid w:val="008168F1"/>
    <w:rsid w:val="00880322"/>
    <w:rsid w:val="008F4569"/>
    <w:rsid w:val="00930124"/>
    <w:rsid w:val="0096287C"/>
    <w:rsid w:val="009E5644"/>
    <w:rsid w:val="00A01163"/>
    <w:rsid w:val="00A17138"/>
    <w:rsid w:val="00A32D30"/>
    <w:rsid w:val="00A73C39"/>
    <w:rsid w:val="00C109CC"/>
    <w:rsid w:val="00CA3781"/>
    <w:rsid w:val="00CB0BCC"/>
    <w:rsid w:val="00CB49C7"/>
    <w:rsid w:val="00D81AFB"/>
    <w:rsid w:val="00D90899"/>
    <w:rsid w:val="00DC6459"/>
    <w:rsid w:val="00E37F36"/>
    <w:rsid w:val="00F6034E"/>
    <w:rsid w:val="00F974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C805"/>
  <w15:chartTrackingRefBased/>
  <w15:docId w15:val="{A7CAE448-80D9-420C-9766-3C4043B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A77"/>
    <w:rPr>
      <w:rFonts w:eastAsiaTheme="majorEastAsia" w:cstheme="majorBidi"/>
      <w:color w:val="272727" w:themeColor="text1" w:themeTint="D8"/>
    </w:rPr>
  </w:style>
  <w:style w:type="paragraph" w:styleId="Title">
    <w:name w:val="Title"/>
    <w:basedOn w:val="Normal"/>
    <w:next w:val="Normal"/>
    <w:link w:val="TitleChar"/>
    <w:uiPriority w:val="10"/>
    <w:qFormat/>
    <w:rsid w:val="00177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A77"/>
    <w:pPr>
      <w:spacing w:before="160"/>
      <w:jc w:val="center"/>
    </w:pPr>
    <w:rPr>
      <w:i/>
      <w:iCs/>
      <w:color w:val="404040" w:themeColor="text1" w:themeTint="BF"/>
    </w:rPr>
  </w:style>
  <w:style w:type="character" w:customStyle="1" w:styleId="QuoteChar">
    <w:name w:val="Quote Char"/>
    <w:basedOn w:val="DefaultParagraphFont"/>
    <w:link w:val="Quote"/>
    <w:uiPriority w:val="29"/>
    <w:rsid w:val="00177A77"/>
    <w:rPr>
      <w:i/>
      <w:iCs/>
      <w:color w:val="404040" w:themeColor="text1" w:themeTint="BF"/>
    </w:rPr>
  </w:style>
  <w:style w:type="paragraph" w:styleId="ListParagraph">
    <w:name w:val="List Paragraph"/>
    <w:basedOn w:val="Normal"/>
    <w:uiPriority w:val="34"/>
    <w:qFormat/>
    <w:rsid w:val="00177A77"/>
    <w:pPr>
      <w:ind w:left="720"/>
      <w:contextualSpacing/>
    </w:pPr>
  </w:style>
  <w:style w:type="character" w:styleId="IntenseEmphasis">
    <w:name w:val="Intense Emphasis"/>
    <w:basedOn w:val="DefaultParagraphFont"/>
    <w:uiPriority w:val="21"/>
    <w:qFormat/>
    <w:rsid w:val="00177A77"/>
    <w:rPr>
      <w:i/>
      <w:iCs/>
      <w:color w:val="0F4761" w:themeColor="accent1" w:themeShade="BF"/>
    </w:rPr>
  </w:style>
  <w:style w:type="paragraph" w:styleId="IntenseQuote">
    <w:name w:val="Intense Quote"/>
    <w:basedOn w:val="Normal"/>
    <w:next w:val="Normal"/>
    <w:link w:val="IntenseQuoteChar"/>
    <w:uiPriority w:val="30"/>
    <w:qFormat/>
    <w:rsid w:val="00177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A77"/>
    <w:rPr>
      <w:i/>
      <w:iCs/>
      <w:color w:val="0F4761" w:themeColor="accent1" w:themeShade="BF"/>
    </w:rPr>
  </w:style>
  <w:style w:type="character" w:styleId="IntenseReference">
    <w:name w:val="Intense Reference"/>
    <w:basedOn w:val="DefaultParagraphFont"/>
    <w:uiPriority w:val="32"/>
    <w:qFormat/>
    <w:rsid w:val="00177A77"/>
    <w:rPr>
      <w:b/>
      <w:bCs/>
      <w:smallCaps/>
      <w:color w:val="0F4761" w:themeColor="accent1" w:themeShade="BF"/>
      <w:spacing w:val="5"/>
    </w:rPr>
  </w:style>
  <w:style w:type="table" w:styleId="TableGrid">
    <w:name w:val="Table Grid"/>
    <w:basedOn w:val="TableNormal"/>
    <w:uiPriority w:val="39"/>
    <w:rsid w:val="0032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864D-1D5A-4839-8811-DDA6796A7000}">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1451</Words>
  <Characters>828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Bernāne</dc:creator>
  <cp:keywords/>
  <dc:description/>
  <cp:lastModifiedBy>Arnita Bernāne</cp:lastModifiedBy>
  <cp:revision>6</cp:revision>
  <dcterms:created xsi:type="dcterms:W3CDTF">2026-05-29T10:13:00Z</dcterms:created>
  <dcterms:modified xsi:type="dcterms:W3CDTF">2026-06-05T09:16:00Z</dcterms:modified>
</cp:coreProperties>
</file>