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E4F2" w14:textId="4ED620C8" w:rsidR="00D57237" w:rsidRPr="00AF71CE" w:rsidRDefault="00D57237" w:rsidP="00FF6961">
      <w:pPr>
        <w:spacing w:before="60" w:after="60"/>
        <w:jc w:val="both"/>
        <w:rPr>
          <w:rFonts w:ascii="Times New Roman" w:hAnsi="Times New Roman" w:cs="Times New Roman"/>
          <w:bCs/>
          <w:lang w:val="en-GB"/>
        </w:rPr>
      </w:pPr>
      <w:r w:rsidRPr="00AF71CE">
        <w:rPr>
          <w:rFonts w:ascii="Times New Roman" w:hAnsi="Times New Roman" w:cs="Times New Roman"/>
          <w:lang w:val="en-GB"/>
        </w:rPr>
        <w:t xml:space="preserve">Joint Stock Company </w:t>
      </w:r>
      <w:r w:rsidRPr="00AF71CE">
        <w:rPr>
          <w:rStyle w:val="hps"/>
          <w:rFonts w:ascii="Times New Roman" w:hAnsi="Times New Roman"/>
          <w:lang w:val="en-GB"/>
        </w:rPr>
        <w:t>"</w:t>
      </w:r>
      <w:r w:rsidRPr="00AF71CE">
        <w:rPr>
          <w:rFonts w:ascii="Times New Roman" w:hAnsi="Times New Roman" w:cs="Times New Roman"/>
          <w:lang w:val="en-GB"/>
        </w:rPr>
        <w:t>Conexus Baltic Grid</w:t>
      </w:r>
      <w:r w:rsidRPr="00AF71CE">
        <w:rPr>
          <w:rStyle w:val="hps"/>
          <w:rFonts w:ascii="Times New Roman" w:hAnsi="Times New Roman"/>
          <w:lang w:val="en-GB"/>
        </w:rPr>
        <w:t>"</w:t>
      </w:r>
      <w:r w:rsidRPr="00AF71CE">
        <w:rPr>
          <w:rFonts w:ascii="Times New Roman" w:hAnsi="Times New Roman" w:cs="Times New Roman"/>
          <w:lang w:val="en-GB"/>
        </w:rPr>
        <w:t xml:space="preserve"> (registered as </w:t>
      </w:r>
      <w:r w:rsidRPr="00AF71CE">
        <w:rPr>
          <w:rStyle w:val="hps"/>
          <w:rFonts w:ascii="Times New Roman" w:hAnsi="Times New Roman"/>
          <w:lang w:val="en-GB"/>
        </w:rPr>
        <w:t>"</w:t>
      </w:r>
      <w:proofErr w:type="spellStart"/>
      <w:r w:rsidRPr="00AF71CE">
        <w:rPr>
          <w:rFonts w:ascii="Times New Roman" w:hAnsi="Times New Roman" w:cs="Times New Roman"/>
          <w:lang w:val="en-GB"/>
        </w:rPr>
        <w:t>Akciju</w:t>
      </w:r>
      <w:proofErr w:type="spellEnd"/>
      <w:r w:rsidRPr="00AF71CE">
        <w:rPr>
          <w:rFonts w:ascii="Times New Roman" w:hAnsi="Times New Roman" w:cs="Times New Roman"/>
          <w:lang w:val="en-GB"/>
        </w:rPr>
        <w:t xml:space="preserve"> </w:t>
      </w:r>
      <w:proofErr w:type="spellStart"/>
      <w:r w:rsidRPr="00AF71CE">
        <w:rPr>
          <w:rFonts w:ascii="Times New Roman" w:hAnsi="Times New Roman" w:cs="Times New Roman"/>
          <w:lang w:val="en-GB"/>
        </w:rPr>
        <w:t>sabiedrība</w:t>
      </w:r>
      <w:proofErr w:type="spellEnd"/>
      <w:r w:rsidRPr="00AF71CE">
        <w:rPr>
          <w:rFonts w:ascii="Times New Roman" w:hAnsi="Times New Roman" w:cs="Times New Roman"/>
          <w:lang w:val="en-GB"/>
        </w:rPr>
        <w:t xml:space="preserve"> </w:t>
      </w:r>
      <w:r w:rsidRPr="00AF71CE">
        <w:rPr>
          <w:rStyle w:val="hps"/>
          <w:rFonts w:ascii="Times New Roman" w:hAnsi="Times New Roman"/>
          <w:lang w:val="en-GB"/>
        </w:rPr>
        <w:t>"</w:t>
      </w:r>
      <w:r w:rsidRPr="00AF71CE">
        <w:rPr>
          <w:rFonts w:ascii="Times New Roman" w:hAnsi="Times New Roman" w:cs="Times New Roman"/>
          <w:lang w:val="en-GB"/>
        </w:rPr>
        <w:t>Conexus Baltic Grid</w:t>
      </w:r>
      <w:r w:rsidRPr="00AF71CE">
        <w:rPr>
          <w:rStyle w:val="hps"/>
          <w:rFonts w:ascii="Times New Roman" w:hAnsi="Times New Roman"/>
          <w:lang w:val="en-GB"/>
        </w:rPr>
        <w:t>""</w:t>
      </w:r>
      <w:r w:rsidRPr="00AF71CE">
        <w:rPr>
          <w:rFonts w:ascii="Times New Roman" w:hAnsi="Times New Roman" w:cs="Times New Roman"/>
          <w:lang w:val="en-GB"/>
        </w:rPr>
        <w:t>), hereinafter – Conexus.</w:t>
      </w:r>
    </w:p>
    <w:p w14:paraId="697B17EB" w14:textId="77777777" w:rsidR="00D57237" w:rsidRPr="00AF71CE" w:rsidRDefault="00D57237" w:rsidP="00FF6961">
      <w:pPr>
        <w:spacing w:before="60" w:after="60"/>
        <w:jc w:val="both"/>
        <w:rPr>
          <w:rFonts w:ascii="Times New Roman" w:hAnsi="Times New Roman" w:cs="Times New Roman"/>
          <w:bCs/>
          <w:sz w:val="12"/>
          <w:szCs w:val="12"/>
          <w:lang w:val="en-GB"/>
        </w:rPr>
      </w:pPr>
    </w:p>
    <w:p w14:paraId="1B471C6A" w14:textId="44C86E6D" w:rsidR="00931A4C" w:rsidRPr="00AF71CE" w:rsidRDefault="007F5BE4" w:rsidP="00FF6961">
      <w:pPr>
        <w:spacing w:before="60" w:after="60"/>
        <w:jc w:val="both"/>
        <w:rPr>
          <w:rFonts w:ascii="Times New Roman" w:hAnsi="Times New Roman" w:cs="Times New Roman"/>
          <w:bCs/>
          <w:lang w:val="en-GB"/>
        </w:rPr>
      </w:pPr>
      <w:r>
        <w:rPr>
          <w:rFonts w:ascii="Times New Roman" w:hAnsi="Times New Roman"/>
          <w:lang w:val="en-GB"/>
        </w:rPr>
        <w:t>T</w:t>
      </w:r>
      <w:r w:rsidRPr="001D6251">
        <w:rPr>
          <w:rFonts w:ascii="Times New Roman" w:hAnsi="Times New Roman"/>
          <w:lang w:val="en-GB"/>
        </w:rPr>
        <w:t xml:space="preserve">he negotiated procedure “Gas transmission and </w:t>
      </w:r>
      <w:proofErr w:type="spellStart"/>
      <w:r w:rsidRPr="001D6251">
        <w:rPr>
          <w:rFonts w:ascii="Times New Roman" w:hAnsi="Times New Roman"/>
          <w:lang w:val="en-GB"/>
        </w:rPr>
        <w:t>Inčukalns</w:t>
      </w:r>
      <w:proofErr w:type="spellEnd"/>
      <w:r w:rsidRPr="001D6251">
        <w:rPr>
          <w:rFonts w:ascii="Times New Roman" w:hAnsi="Times New Roman"/>
          <w:lang w:val="en-GB"/>
        </w:rPr>
        <w:t xml:space="preserve"> UGS </w:t>
      </w:r>
      <w:r>
        <w:rPr>
          <w:rFonts w:ascii="Times New Roman" w:hAnsi="Times New Roman"/>
          <w:lang w:val="en-GB"/>
        </w:rPr>
        <w:t>SCADA</w:t>
      </w:r>
      <w:r w:rsidRPr="001D6251">
        <w:rPr>
          <w:rFonts w:ascii="Times New Roman" w:hAnsi="Times New Roman"/>
          <w:lang w:val="en-GB"/>
        </w:rPr>
        <w:t xml:space="preserve"> modernization”</w:t>
      </w:r>
      <w:r w:rsidRPr="001D6251">
        <w:rPr>
          <w:rFonts w:ascii="Times New Roman" w:hAnsi="Times New Roman"/>
          <w:b/>
          <w:bCs/>
          <w:lang w:val="en-GB"/>
        </w:rPr>
        <w:t xml:space="preserve"> </w:t>
      </w:r>
      <w:r w:rsidRPr="001D6251">
        <w:rPr>
          <w:rFonts w:ascii="Times New Roman" w:hAnsi="Times New Roman"/>
          <w:lang w:val="en-GB"/>
        </w:rPr>
        <w:t>(Id. Nr. AS Conexus Baltic Grid 2021/15)</w:t>
      </w:r>
      <w:r w:rsidR="00D57237" w:rsidRPr="00AF71CE">
        <w:rPr>
          <w:rFonts w:ascii="Times New Roman" w:hAnsi="Times New Roman" w:cs="Times New Roman"/>
          <w:bCs/>
          <w:lang w:val="en-GB"/>
        </w:rPr>
        <w:t xml:space="preserve">, </w:t>
      </w:r>
      <w:r w:rsidR="00D57237" w:rsidRPr="00AF71CE">
        <w:rPr>
          <w:rFonts w:ascii="Times New Roman" w:hAnsi="Times New Roman" w:cs="Times New Roman"/>
          <w:lang w:val="en-GB"/>
        </w:rPr>
        <w:t xml:space="preserve">hereinafter – </w:t>
      </w:r>
      <w:r>
        <w:rPr>
          <w:rFonts w:ascii="Times New Roman" w:hAnsi="Times New Roman" w:cs="Times New Roman"/>
          <w:lang w:val="en-GB"/>
        </w:rPr>
        <w:t>the Procurement</w:t>
      </w:r>
      <w:r w:rsidR="00D57237" w:rsidRPr="00AF71CE">
        <w:rPr>
          <w:rFonts w:ascii="Times New Roman" w:hAnsi="Times New Roman" w:cs="Times New Roman"/>
          <w:lang w:val="en-GB"/>
        </w:rPr>
        <w:t>.</w:t>
      </w:r>
    </w:p>
    <w:p w14:paraId="3AAE41D4" w14:textId="4A203629" w:rsidR="00D57237" w:rsidRPr="00AF71CE" w:rsidRDefault="00D57237" w:rsidP="00FF6961">
      <w:pPr>
        <w:spacing w:before="60" w:after="60"/>
        <w:jc w:val="both"/>
        <w:rPr>
          <w:rFonts w:ascii="Times New Roman" w:hAnsi="Times New Roman" w:cs="Times New Roman"/>
          <w:bCs/>
          <w:sz w:val="12"/>
          <w:szCs w:val="12"/>
          <w:lang w:val="en-GB"/>
        </w:rPr>
      </w:pPr>
    </w:p>
    <w:p w14:paraId="3B3B68E5" w14:textId="7EA76392" w:rsidR="003B5632" w:rsidRPr="003B5632" w:rsidRDefault="007F5BE4" w:rsidP="003B5632">
      <w:pPr>
        <w:spacing w:before="60" w:after="60"/>
        <w:jc w:val="both"/>
        <w:rPr>
          <w:rFonts w:ascii="Times New Roman" w:hAnsi="Times New Roman" w:cs="Times New Roman"/>
          <w:lang w:val="en-GB"/>
        </w:rPr>
      </w:pPr>
      <w:r>
        <w:rPr>
          <w:rStyle w:val="jlqj4b"/>
          <w:rFonts w:ascii="Times New Roman" w:hAnsi="Times New Roman" w:cs="Times New Roman"/>
          <w:lang w:val="en-GB"/>
        </w:rPr>
        <w:t>P</w:t>
      </w:r>
      <w:r w:rsidRPr="007F5BE4">
        <w:rPr>
          <w:rStyle w:val="jlqj4b"/>
          <w:rFonts w:ascii="Times New Roman" w:hAnsi="Times New Roman" w:cs="Times New Roman"/>
          <w:lang w:val="en-GB"/>
        </w:rPr>
        <w:t xml:space="preserve">rocurement commission </w:t>
      </w:r>
      <w:r>
        <w:rPr>
          <w:rStyle w:val="jlqj4b"/>
          <w:rFonts w:ascii="Times New Roman" w:hAnsi="Times New Roman" w:cs="Times New Roman"/>
          <w:lang w:val="en-GB"/>
        </w:rPr>
        <w:t>(</w:t>
      </w:r>
      <w:r w:rsidRPr="00AF71CE">
        <w:rPr>
          <w:rFonts w:ascii="Times New Roman" w:hAnsi="Times New Roman" w:cs="Times New Roman"/>
          <w:lang w:val="en-GB"/>
        </w:rPr>
        <w:t xml:space="preserve">hereinafter </w:t>
      </w:r>
      <w:r>
        <w:rPr>
          <w:rFonts w:ascii="Times New Roman" w:hAnsi="Times New Roman" w:cs="Times New Roman"/>
          <w:lang w:val="en-GB"/>
        </w:rPr>
        <w:t xml:space="preserve">– the </w:t>
      </w:r>
      <w:r>
        <w:rPr>
          <w:rStyle w:val="jlqj4b"/>
          <w:rFonts w:ascii="Times New Roman" w:hAnsi="Times New Roman" w:cs="Times New Roman"/>
          <w:lang w:val="en-GB"/>
        </w:rPr>
        <w:t>C</w:t>
      </w:r>
      <w:r w:rsidRPr="007F5BE4">
        <w:rPr>
          <w:rStyle w:val="jlqj4b"/>
          <w:rFonts w:ascii="Times New Roman" w:hAnsi="Times New Roman" w:cs="Times New Roman"/>
          <w:lang w:val="en-GB"/>
        </w:rPr>
        <w:t>ommission</w:t>
      </w:r>
      <w:r>
        <w:rPr>
          <w:rStyle w:val="jlqj4b"/>
          <w:rFonts w:ascii="Times New Roman" w:hAnsi="Times New Roman" w:cs="Times New Roman"/>
          <w:lang w:val="en-GB"/>
        </w:rPr>
        <w:t>)</w:t>
      </w:r>
      <w:r w:rsidRPr="007F5BE4">
        <w:rPr>
          <w:rStyle w:val="jlqj4b"/>
          <w:rFonts w:ascii="Times New Roman" w:hAnsi="Times New Roman" w:cs="Times New Roman"/>
          <w:lang w:val="en-GB"/>
        </w:rPr>
        <w:t xml:space="preserve"> </w:t>
      </w:r>
      <w:r w:rsidR="00D57237" w:rsidRPr="00AF71CE">
        <w:rPr>
          <w:rStyle w:val="jlqj4b"/>
          <w:rFonts w:ascii="Times New Roman" w:hAnsi="Times New Roman" w:cs="Times New Roman"/>
          <w:lang w:val="en-GB"/>
        </w:rPr>
        <w:t>has received questions from interested suppliers and provides the following answers to them (quoting questions):</w:t>
      </w:r>
    </w:p>
    <w:tbl>
      <w:tblPr>
        <w:tblStyle w:val="TableGrid"/>
        <w:tblW w:w="0" w:type="auto"/>
        <w:tblInd w:w="-14" w:type="dxa"/>
        <w:tblLayout w:type="fixed"/>
        <w:tblLook w:val="04A0" w:firstRow="1" w:lastRow="0" w:firstColumn="1" w:lastColumn="0" w:noHBand="0" w:noVBand="1"/>
      </w:tblPr>
      <w:tblGrid>
        <w:gridCol w:w="576"/>
        <w:gridCol w:w="6379"/>
        <w:gridCol w:w="7187"/>
      </w:tblGrid>
      <w:tr w:rsidR="001549EC" w:rsidRPr="00D337DB" w14:paraId="40480D52" w14:textId="77777777" w:rsidTr="007732E1">
        <w:tc>
          <w:tcPr>
            <w:tcW w:w="576" w:type="dxa"/>
            <w:shd w:val="clear" w:color="auto" w:fill="auto"/>
          </w:tcPr>
          <w:p w14:paraId="431CA5E5" w14:textId="77777777" w:rsidR="001549EC" w:rsidRPr="00D337DB" w:rsidRDefault="001549EC" w:rsidP="007322E9">
            <w:pPr>
              <w:spacing w:before="60" w:after="60"/>
              <w:jc w:val="center"/>
              <w:rPr>
                <w:rFonts w:ascii="Times New Roman" w:hAnsi="Times New Roman" w:cs="Times New Roman"/>
                <w:b/>
                <w:bCs/>
                <w:lang w:val="en-GB"/>
              </w:rPr>
            </w:pPr>
            <w:r>
              <w:rPr>
                <w:rFonts w:ascii="Times New Roman" w:hAnsi="Times New Roman" w:cs="Times New Roman"/>
                <w:b/>
                <w:bCs/>
                <w:lang w:val="en-GB"/>
              </w:rPr>
              <w:t>No.</w:t>
            </w:r>
          </w:p>
        </w:tc>
        <w:tc>
          <w:tcPr>
            <w:tcW w:w="6379" w:type="dxa"/>
          </w:tcPr>
          <w:p w14:paraId="3D150B79" w14:textId="77777777" w:rsidR="001549EC" w:rsidRPr="00D337DB" w:rsidRDefault="001549EC" w:rsidP="007322E9">
            <w:pPr>
              <w:tabs>
                <w:tab w:val="left" w:pos="269"/>
              </w:tabs>
              <w:spacing w:before="60" w:after="60"/>
              <w:jc w:val="center"/>
              <w:rPr>
                <w:rFonts w:ascii="Times New Roman" w:hAnsi="Times New Roman" w:cs="Times New Roman"/>
                <w:lang w:val="en-GB"/>
              </w:rPr>
            </w:pPr>
            <w:r w:rsidRPr="00AF71CE">
              <w:rPr>
                <w:rFonts w:ascii="Times New Roman" w:hAnsi="Times New Roman" w:cs="Times New Roman"/>
                <w:b/>
                <w:bCs/>
                <w:lang w:val="en-GB"/>
              </w:rPr>
              <w:t>QUESTIONS</w:t>
            </w:r>
          </w:p>
        </w:tc>
        <w:tc>
          <w:tcPr>
            <w:tcW w:w="7187" w:type="dxa"/>
          </w:tcPr>
          <w:p w14:paraId="6B65ED28" w14:textId="77777777" w:rsidR="001549EC" w:rsidRPr="00A55E63" w:rsidRDefault="001549EC" w:rsidP="007322E9">
            <w:pPr>
              <w:spacing w:before="60" w:after="60" w:line="256" w:lineRule="auto"/>
              <w:jc w:val="center"/>
              <w:rPr>
                <w:rFonts w:ascii="Times New Roman" w:hAnsi="Times New Roman" w:cs="Times New Roman"/>
                <w:lang w:val="en-GB"/>
              </w:rPr>
            </w:pPr>
            <w:r w:rsidRPr="00AF71CE">
              <w:rPr>
                <w:rFonts w:ascii="Times New Roman" w:hAnsi="Times New Roman" w:cs="Times New Roman"/>
                <w:b/>
                <w:bCs/>
                <w:lang w:val="en-GB"/>
              </w:rPr>
              <w:t>ANSWERS</w:t>
            </w:r>
          </w:p>
        </w:tc>
      </w:tr>
      <w:tr w:rsidR="007732E1" w:rsidRPr="00D337DB" w14:paraId="3AE6CA18" w14:textId="77777777" w:rsidTr="007732E1">
        <w:tc>
          <w:tcPr>
            <w:tcW w:w="576" w:type="dxa"/>
            <w:shd w:val="clear" w:color="auto" w:fill="FFFFFF" w:themeFill="background1"/>
          </w:tcPr>
          <w:p w14:paraId="638604E4" w14:textId="205C6EC7" w:rsidR="007732E1" w:rsidRPr="00614064" w:rsidRDefault="007732E1" w:rsidP="007732E1">
            <w:pPr>
              <w:spacing w:before="60" w:after="60"/>
              <w:jc w:val="both"/>
              <w:rPr>
                <w:rFonts w:ascii="Times New Roman" w:hAnsi="Times New Roman" w:cs="Times New Roman"/>
                <w:b/>
                <w:bCs/>
                <w:lang w:val="en-GB"/>
              </w:rPr>
            </w:pPr>
            <w:r w:rsidRPr="00E050DD">
              <w:rPr>
                <w:rFonts w:ascii="Times New Roman" w:hAnsi="Times New Roman" w:cs="Times New Roman"/>
                <w:b/>
                <w:bCs/>
                <w:lang w:val="en-GB"/>
              </w:rPr>
              <w:t>11</w:t>
            </w:r>
          </w:p>
        </w:tc>
        <w:tc>
          <w:tcPr>
            <w:tcW w:w="6379" w:type="dxa"/>
            <w:shd w:val="clear" w:color="auto" w:fill="FFFFFF" w:themeFill="background1"/>
          </w:tcPr>
          <w:p w14:paraId="052DD7AF" w14:textId="77777777" w:rsidR="007732E1" w:rsidRPr="00E050DD" w:rsidRDefault="007732E1" w:rsidP="007732E1">
            <w:pPr>
              <w:rPr>
                <w:rFonts w:ascii="Times New Roman" w:hAnsi="Times New Roman" w:cs="Times New Roman"/>
                <w:lang w:val="en-GB"/>
              </w:rPr>
            </w:pPr>
            <w:r w:rsidRPr="00E050DD">
              <w:rPr>
                <w:rFonts w:ascii="Times New Roman" w:hAnsi="Times New Roman" w:cs="Times New Roman"/>
                <w:lang w:val="en-GB"/>
              </w:rPr>
              <w:t>Point 9.16. of “Candidate qualification (selection) regulations”:</w:t>
            </w:r>
          </w:p>
          <w:p w14:paraId="27768508" w14:textId="4AB81430" w:rsidR="007732E1" w:rsidRPr="00614064" w:rsidRDefault="007732E1" w:rsidP="007732E1">
            <w:pPr>
              <w:tabs>
                <w:tab w:val="left" w:pos="269"/>
              </w:tabs>
              <w:spacing w:before="60" w:after="60"/>
              <w:jc w:val="both"/>
              <w:rPr>
                <w:rFonts w:ascii="Times New Roman" w:hAnsi="Times New Roman" w:cs="Times New Roman"/>
                <w:lang w:val="en-GB"/>
              </w:rPr>
            </w:pPr>
            <w:r w:rsidRPr="00E050DD">
              <w:rPr>
                <w:rFonts w:ascii="Times New Roman" w:hAnsi="Times New Roman" w:cs="Times New Roman"/>
                <w:lang w:val="en-GB"/>
              </w:rPr>
              <w:t>Does the Customer confirm, that in order to prove the Candidate’s compliance with the qualification (selection) requirements, it will be enough to submit the European Single Procurement Document (ESPD) as the initial proof of compliance? When the Candidate will have to submit the documents confirming the information provided in the ESPD?</w:t>
            </w:r>
          </w:p>
        </w:tc>
        <w:tc>
          <w:tcPr>
            <w:tcW w:w="7187" w:type="dxa"/>
            <w:shd w:val="clear" w:color="auto" w:fill="FFFFFF" w:themeFill="background1"/>
          </w:tcPr>
          <w:p w14:paraId="69867A5E" w14:textId="77777777" w:rsidR="007732E1" w:rsidRPr="00E050DD" w:rsidRDefault="007732E1" w:rsidP="007732E1">
            <w:pPr>
              <w:jc w:val="both"/>
              <w:rPr>
                <w:rFonts w:ascii="Times New Roman" w:hAnsi="Times New Roman" w:cs="Times New Roman"/>
                <w:lang w:val="en-GB"/>
              </w:rPr>
            </w:pPr>
            <w:r w:rsidRPr="00E050DD">
              <w:rPr>
                <w:rFonts w:ascii="Times New Roman" w:hAnsi="Times New Roman" w:cs="Times New Roman"/>
                <w:lang w:val="en-GB"/>
              </w:rPr>
              <w:t>According to Paragraph 56 of the Law on the Procurements of Public Service Providers (</w:t>
            </w:r>
            <w:r w:rsidRPr="00E050DD">
              <w:rPr>
                <w:rStyle w:val="jlqj4b"/>
                <w:rFonts w:ascii="Times New Roman" w:hAnsi="Times New Roman" w:cs="Times New Roman"/>
                <w:lang w:val="en-GB"/>
              </w:rPr>
              <w:t>LPPSP)</w:t>
            </w:r>
            <w:r w:rsidRPr="00E050DD">
              <w:rPr>
                <w:rFonts w:ascii="Times New Roman" w:hAnsi="Times New Roman" w:cs="Times New Roman"/>
                <w:lang w:val="en-GB"/>
              </w:rPr>
              <w:t xml:space="preserve"> a public service provider shall accept the European Single Procurement Document (ESPD) as the preliminary evidence of the conformity with the requirements for the selection of candidates laid down in the procurement procedure documents.</w:t>
            </w:r>
          </w:p>
          <w:p w14:paraId="67114CB3" w14:textId="77777777" w:rsidR="007732E1" w:rsidRPr="00E050DD" w:rsidRDefault="007732E1" w:rsidP="007732E1">
            <w:pPr>
              <w:jc w:val="both"/>
              <w:rPr>
                <w:rStyle w:val="jlqj4b"/>
                <w:rFonts w:ascii="Times New Roman" w:hAnsi="Times New Roman" w:cs="Times New Roman"/>
                <w:lang w:val="en-GB"/>
              </w:rPr>
            </w:pPr>
            <w:r w:rsidRPr="00E050DD">
              <w:rPr>
                <w:rFonts w:ascii="Times New Roman" w:hAnsi="Times New Roman" w:cs="Times New Roman"/>
                <w:lang w:val="en-GB"/>
              </w:rPr>
              <w:t>The obligation to indicate in the procurement regulations information on the possibility to submit the ESPD is specified in Paragraph 62 of the Cabinet Regulation No. 187 “Procedures for the Course of Procurement Procedures and Design Contests of Public Service Providers” (Adopted 28 March 2017).</w:t>
            </w:r>
          </w:p>
          <w:p w14:paraId="1DB86617" w14:textId="77777777" w:rsidR="007732E1" w:rsidRPr="00E050DD" w:rsidRDefault="007732E1" w:rsidP="007732E1">
            <w:pPr>
              <w:jc w:val="both"/>
              <w:rPr>
                <w:rStyle w:val="jlqj4b"/>
                <w:rFonts w:ascii="Times New Roman" w:hAnsi="Times New Roman" w:cs="Times New Roman"/>
                <w:lang w:val="en-GB"/>
              </w:rPr>
            </w:pPr>
            <w:r w:rsidRPr="00E050DD">
              <w:rPr>
                <w:rStyle w:val="jlqj4b"/>
                <w:rFonts w:ascii="Times New Roman" w:hAnsi="Times New Roman" w:cs="Times New Roman"/>
                <w:lang w:val="en-GB"/>
              </w:rPr>
              <w:t>Despite the above mentioned, the practical usefulness of submitting an ESPD within the negotiated procedure (by publishing an invitation to participate) is not apparent.</w:t>
            </w:r>
            <w:r w:rsidRPr="00E050DD">
              <w:rPr>
                <w:rStyle w:val="viiyi"/>
                <w:rFonts w:ascii="Times New Roman" w:hAnsi="Times New Roman" w:cs="Times New Roman"/>
                <w:lang w:val="en-GB"/>
              </w:rPr>
              <w:t xml:space="preserve"> </w:t>
            </w:r>
            <w:r w:rsidRPr="00E050DD">
              <w:rPr>
                <w:rStyle w:val="jlqj4b"/>
                <w:rFonts w:ascii="Times New Roman" w:hAnsi="Times New Roman" w:cs="Times New Roman"/>
                <w:lang w:val="en-GB"/>
              </w:rPr>
              <w:t xml:space="preserve">Stage 1 of the negotiated procedure involves assessing the candidates' eligibility with all the requirements specified in the </w:t>
            </w:r>
            <w:r>
              <w:rPr>
                <w:rStyle w:val="jlqj4b"/>
                <w:rFonts w:ascii="Times New Roman" w:hAnsi="Times New Roman" w:cs="Times New Roman"/>
                <w:lang w:val="en-GB"/>
              </w:rPr>
              <w:t>R</w:t>
            </w:r>
            <w:r w:rsidRPr="00E050DD">
              <w:rPr>
                <w:rStyle w:val="jlqj4b"/>
                <w:rFonts w:ascii="Times New Roman" w:hAnsi="Times New Roman" w:cs="Times New Roman"/>
                <w:lang w:val="en-GB"/>
              </w:rPr>
              <w:t xml:space="preserve">egulations, which is not possible without having all the information </w:t>
            </w:r>
            <w:r w:rsidRPr="00E050DD">
              <w:rPr>
                <w:rFonts w:ascii="Times New Roman" w:hAnsi="Times New Roman" w:cs="Times New Roman"/>
                <w:lang w:val="en-GB"/>
              </w:rPr>
              <w:t>requested</w:t>
            </w:r>
            <w:r w:rsidRPr="00E050DD">
              <w:rPr>
                <w:rStyle w:val="jlqj4b"/>
                <w:rFonts w:ascii="Times New Roman" w:hAnsi="Times New Roman" w:cs="Times New Roman"/>
                <w:lang w:val="en-GB"/>
              </w:rPr>
              <w:t>.</w:t>
            </w:r>
          </w:p>
          <w:p w14:paraId="46314BE2" w14:textId="77777777" w:rsidR="007732E1" w:rsidRPr="00E050DD" w:rsidRDefault="007732E1" w:rsidP="007732E1">
            <w:pPr>
              <w:jc w:val="both"/>
              <w:rPr>
                <w:rStyle w:val="jlqj4b"/>
                <w:rFonts w:ascii="Times New Roman" w:hAnsi="Times New Roman" w:cs="Times New Roman"/>
                <w:lang w:val="en-GB"/>
              </w:rPr>
            </w:pPr>
            <w:r w:rsidRPr="00E050DD">
              <w:rPr>
                <w:rStyle w:val="jlqj4b"/>
                <w:rFonts w:ascii="Times New Roman" w:hAnsi="Times New Roman" w:cs="Times New Roman"/>
                <w:lang w:val="en-GB"/>
              </w:rPr>
              <w:t xml:space="preserve">It follows that, if a candidate chooses to submit an ESPD, </w:t>
            </w:r>
            <w:r>
              <w:rPr>
                <w:rStyle w:val="jlqj4b"/>
                <w:rFonts w:ascii="Times New Roman" w:hAnsi="Times New Roman" w:cs="Times New Roman"/>
                <w:lang w:val="en-GB"/>
              </w:rPr>
              <w:t>than ESPD</w:t>
            </w:r>
            <w:r w:rsidRPr="00E050DD">
              <w:rPr>
                <w:rStyle w:val="jlqj4b"/>
                <w:rFonts w:ascii="Times New Roman" w:hAnsi="Times New Roman" w:cs="Times New Roman"/>
                <w:lang w:val="en-GB"/>
              </w:rPr>
              <w:t xml:space="preserve"> must contain all the information necessary for the verification of compliance.</w:t>
            </w:r>
          </w:p>
          <w:p w14:paraId="6C38FA89" w14:textId="77777777" w:rsidR="007732E1" w:rsidRPr="00E050DD" w:rsidRDefault="007732E1" w:rsidP="007732E1">
            <w:pPr>
              <w:jc w:val="both"/>
              <w:rPr>
                <w:rStyle w:val="jlqj4b"/>
                <w:rFonts w:ascii="Times New Roman" w:hAnsi="Times New Roman" w:cs="Times New Roman"/>
                <w:lang w:val="en-GB"/>
              </w:rPr>
            </w:pPr>
            <w:r w:rsidRPr="00E050DD">
              <w:rPr>
                <w:rStyle w:val="jlqj4b"/>
                <w:rFonts w:ascii="Times New Roman" w:hAnsi="Times New Roman" w:cs="Times New Roman"/>
                <w:lang w:val="en-GB"/>
              </w:rPr>
              <w:t>In view of the above, after opening the application, finding that an ESPD has been submitted, in case if all the information needed for evaluation is not included in the ESPD, the procurement commission will decide on further actions (for instance, request to instantly submit all the necessary documents required for the assessment of the candidate's compliance; rejection of a candidate, etc.).</w:t>
            </w:r>
          </w:p>
          <w:p w14:paraId="60F04703" w14:textId="77777777" w:rsidR="007732E1" w:rsidRPr="00E050DD" w:rsidRDefault="007732E1" w:rsidP="007732E1">
            <w:pPr>
              <w:jc w:val="both"/>
              <w:rPr>
                <w:rStyle w:val="jlqj4b"/>
                <w:rFonts w:ascii="Times New Roman" w:hAnsi="Times New Roman" w:cs="Times New Roman"/>
                <w:lang w:val="en-GB"/>
              </w:rPr>
            </w:pPr>
            <w:r w:rsidRPr="00E050DD">
              <w:rPr>
                <w:rStyle w:val="jlqj4b"/>
                <w:rFonts w:ascii="Times New Roman" w:hAnsi="Times New Roman" w:cs="Times New Roman"/>
                <w:lang w:val="en-GB"/>
              </w:rPr>
              <w:t>Please note that the submission of new information (not included / mentioned in the application) after the opening of applications may lead to the rejection of the candidate if such information is considered to be an amendment or addition to the application.</w:t>
            </w:r>
          </w:p>
          <w:p w14:paraId="08DA5475" w14:textId="7CE137FF" w:rsidR="007732E1" w:rsidRPr="005E79D7" w:rsidRDefault="007732E1" w:rsidP="007732E1">
            <w:pPr>
              <w:spacing w:before="60" w:after="60" w:line="256" w:lineRule="auto"/>
              <w:jc w:val="both"/>
              <w:rPr>
                <w:rFonts w:ascii="Times New Roman" w:hAnsi="Times New Roman" w:cs="Times New Roman"/>
                <w:lang w:val="en-GB"/>
              </w:rPr>
            </w:pPr>
            <w:r w:rsidRPr="00E050DD">
              <w:rPr>
                <w:rStyle w:val="jlqj4b"/>
                <w:rFonts w:ascii="Times New Roman" w:hAnsi="Times New Roman" w:cs="Times New Roman"/>
                <w:lang w:val="en-GB"/>
              </w:rPr>
              <w:t>In case if all the information needed for evaluation is included in the ESPD, procurement commission (according to Paragraph 56 of the LPPSP) is</w:t>
            </w:r>
            <w:r w:rsidRPr="00E050DD">
              <w:rPr>
                <w:rFonts w:ascii="Times New Roman" w:hAnsi="Times New Roman" w:cs="Times New Roman"/>
                <w:lang w:val="en-GB"/>
              </w:rPr>
              <w:t xml:space="preserve"> entitled to ask the candidate, at any stage during the procurement procedure, to submit all or part of the documents certifying the conformity with the requirements for the selection of candidates laid down in the </w:t>
            </w:r>
            <w:r>
              <w:rPr>
                <w:rFonts w:ascii="Times New Roman" w:hAnsi="Times New Roman" w:cs="Times New Roman"/>
                <w:lang w:val="en-GB"/>
              </w:rPr>
              <w:t>R</w:t>
            </w:r>
            <w:r w:rsidRPr="00E050DD">
              <w:rPr>
                <w:rFonts w:ascii="Times New Roman" w:hAnsi="Times New Roman" w:cs="Times New Roman"/>
                <w:lang w:val="en-GB"/>
              </w:rPr>
              <w:t>egulations.</w:t>
            </w:r>
          </w:p>
        </w:tc>
      </w:tr>
      <w:tr w:rsidR="007732E1" w:rsidRPr="00D337DB" w14:paraId="11A69A6F" w14:textId="77777777" w:rsidTr="007732E1">
        <w:tc>
          <w:tcPr>
            <w:tcW w:w="576" w:type="dxa"/>
            <w:shd w:val="clear" w:color="auto" w:fill="FFFFFF" w:themeFill="background1"/>
          </w:tcPr>
          <w:p w14:paraId="42E3E066" w14:textId="35DD23D8" w:rsidR="007732E1" w:rsidRPr="00614064" w:rsidRDefault="007732E1" w:rsidP="007732E1">
            <w:pPr>
              <w:spacing w:before="60" w:after="60"/>
              <w:jc w:val="both"/>
              <w:rPr>
                <w:rFonts w:ascii="Times New Roman" w:hAnsi="Times New Roman" w:cs="Times New Roman"/>
                <w:b/>
                <w:bCs/>
                <w:lang w:val="en-GB"/>
              </w:rPr>
            </w:pPr>
            <w:r w:rsidRPr="00E050DD">
              <w:rPr>
                <w:rFonts w:ascii="Times New Roman" w:hAnsi="Times New Roman" w:cs="Times New Roman"/>
                <w:b/>
                <w:bCs/>
                <w:lang w:val="en-GB"/>
              </w:rPr>
              <w:lastRenderedPageBreak/>
              <w:t>12</w:t>
            </w:r>
          </w:p>
        </w:tc>
        <w:tc>
          <w:tcPr>
            <w:tcW w:w="6379" w:type="dxa"/>
            <w:shd w:val="clear" w:color="auto" w:fill="FFFFFF" w:themeFill="background1"/>
          </w:tcPr>
          <w:p w14:paraId="5C3EF082" w14:textId="77777777" w:rsidR="007732E1" w:rsidRPr="00E050DD" w:rsidRDefault="007732E1" w:rsidP="007732E1">
            <w:pPr>
              <w:rPr>
                <w:rFonts w:ascii="Times New Roman" w:hAnsi="Times New Roman" w:cs="Times New Roman"/>
                <w:lang w:val="en-GB"/>
              </w:rPr>
            </w:pPr>
            <w:r w:rsidRPr="00E050DD">
              <w:rPr>
                <w:rFonts w:ascii="Times New Roman" w:hAnsi="Times New Roman" w:cs="Times New Roman"/>
                <w:lang w:val="en-GB"/>
              </w:rPr>
              <w:t>Point 9.16. of “Candidate qualification (selection) regulations”:</w:t>
            </w:r>
          </w:p>
          <w:p w14:paraId="3B246F30" w14:textId="759D83DD" w:rsidR="007732E1" w:rsidRPr="00614064" w:rsidRDefault="007732E1" w:rsidP="007732E1">
            <w:pPr>
              <w:tabs>
                <w:tab w:val="left" w:pos="269"/>
              </w:tabs>
              <w:spacing w:before="60" w:after="60"/>
              <w:jc w:val="both"/>
              <w:rPr>
                <w:rFonts w:ascii="Times New Roman" w:hAnsi="Times New Roman" w:cs="Times New Roman"/>
                <w:lang w:val="en-GB"/>
              </w:rPr>
            </w:pPr>
            <w:r w:rsidRPr="00E050DD">
              <w:rPr>
                <w:rFonts w:ascii="Times New Roman" w:hAnsi="Times New Roman" w:cs="Times New Roman"/>
                <w:lang w:val="en-GB"/>
              </w:rPr>
              <w:t>Does the Customer confirm, that in the Part IV of ESPD form (Selection criteria), it will be enough to fill the part “ɑ: Global indication for all selection criteria”, without filling the Sections A, B, C and D of the Part IV?</w:t>
            </w:r>
          </w:p>
        </w:tc>
        <w:tc>
          <w:tcPr>
            <w:tcW w:w="7187" w:type="dxa"/>
            <w:shd w:val="clear" w:color="auto" w:fill="FFFFFF" w:themeFill="background1"/>
          </w:tcPr>
          <w:p w14:paraId="3207F61F" w14:textId="77777777" w:rsidR="007732E1" w:rsidRDefault="007732E1" w:rsidP="007732E1">
            <w:pPr>
              <w:jc w:val="both"/>
              <w:rPr>
                <w:rStyle w:val="jlqj4b"/>
                <w:rFonts w:ascii="Times New Roman" w:hAnsi="Times New Roman" w:cs="Times New Roman"/>
                <w:lang w:val="en-GB"/>
              </w:rPr>
            </w:pPr>
            <w:r>
              <w:rPr>
                <w:rStyle w:val="jlqj4b"/>
                <w:rFonts w:ascii="Times New Roman" w:hAnsi="Times New Roman" w:cs="Times New Roman"/>
                <w:lang w:val="en-GB"/>
              </w:rPr>
              <w:t>Please see answer to question 11.</w:t>
            </w:r>
          </w:p>
          <w:p w14:paraId="7679D96D" w14:textId="77777777" w:rsidR="007732E1" w:rsidRPr="00E050DD" w:rsidRDefault="007732E1" w:rsidP="007732E1">
            <w:pPr>
              <w:jc w:val="both"/>
              <w:rPr>
                <w:rStyle w:val="jlqj4b"/>
                <w:rFonts w:ascii="Times New Roman" w:hAnsi="Times New Roman" w:cs="Times New Roman"/>
                <w:lang w:val="en-GB"/>
              </w:rPr>
            </w:pPr>
            <w:r w:rsidRPr="00E050DD">
              <w:rPr>
                <w:rStyle w:val="jlqj4b"/>
                <w:rFonts w:ascii="Times New Roman" w:hAnsi="Times New Roman" w:cs="Times New Roman"/>
                <w:lang w:val="en-GB"/>
              </w:rPr>
              <w:t>Conexus as contracting authority is responsible for the preparation of the procurement regulations and the provision of answers/explanations regarding the procurement subject</w:t>
            </w:r>
            <w:r>
              <w:rPr>
                <w:rStyle w:val="jlqj4b"/>
                <w:rFonts w:ascii="Times New Roman" w:hAnsi="Times New Roman" w:cs="Times New Roman"/>
                <w:lang w:val="en-GB"/>
              </w:rPr>
              <w:t xml:space="preserve"> </w:t>
            </w:r>
            <w:r w:rsidRPr="00E050DD">
              <w:rPr>
                <w:rStyle w:val="jlqj4b"/>
                <w:rFonts w:ascii="Times New Roman" w:hAnsi="Times New Roman" w:cs="Times New Roman"/>
                <w:lang w:val="en-GB"/>
              </w:rPr>
              <w:t xml:space="preserve">and other requirements included in the </w:t>
            </w:r>
            <w:r>
              <w:rPr>
                <w:rStyle w:val="jlqj4b"/>
                <w:rFonts w:ascii="Times New Roman" w:hAnsi="Times New Roman" w:cs="Times New Roman"/>
                <w:lang w:val="en-GB"/>
              </w:rPr>
              <w:t>R</w:t>
            </w:r>
            <w:r w:rsidRPr="00E050DD">
              <w:rPr>
                <w:rStyle w:val="jlqj4b"/>
                <w:rFonts w:ascii="Times New Roman" w:hAnsi="Times New Roman" w:cs="Times New Roman"/>
                <w:lang w:val="en-GB"/>
              </w:rPr>
              <w:t>egulations.</w:t>
            </w:r>
          </w:p>
          <w:p w14:paraId="3B972674" w14:textId="77777777" w:rsidR="007732E1" w:rsidRPr="00E050DD" w:rsidRDefault="007732E1" w:rsidP="007732E1">
            <w:pPr>
              <w:jc w:val="both"/>
              <w:rPr>
                <w:rStyle w:val="jlqj4b"/>
                <w:rFonts w:ascii="Times New Roman" w:hAnsi="Times New Roman" w:cs="Times New Roman"/>
                <w:lang w:val="en-GB"/>
              </w:rPr>
            </w:pPr>
            <w:r w:rsidRPr="00E050DD">
              <w:rPr>
                <w:rStyle w:val="jlqj4b"/>
                <w:rFonts w:ascii="Times New Roman" w:hAnsi="Times New Roman" w:cs="Times New Roman"/>
                <w:lang w:val="en-GB"/>
              </w:rPr>
              <w:t xml:space="preserve">The </w:t>
            </w:r>
            <w:r>
              <w:rPr>
                <w:rStyle w:val="jlqj4b"/>
                <w:rFonts w:ascii="Times New Roman" w:hAnsi="Times New Roman" w:cs="Times New Roman"/>
                <w:lang w:val="en-GB"/>
              </w:rPr>
              <w:t>candidate</w:t>
            </w:r>
            <w:r w:rsidRPr="00E050DD">
              <w:rPr>
                <w:rStyle w:val="jlqj4b"/>
                <w:rFonts w:ascii="Times New Roman" w:hAnsi="Times New Roman" w:cs="Times New Roman"/>
                <w:lang w:val="en-GB"/>
              </w:rPr>
              <w:t xml:space="preserve">, in turn, is responsible for preparing and submitting the </w:t>
            </w:r>
            <w:r>
              <w:rPr>
                <w:rStyle w:val="jlqj4b"/>
                <w:rFonts w:ascii="Times New Roman" w:hAnsi="Times New Roman" w:cs="Times New Roman"/>
                <w:lang w:val="en-GB"/>
              </w:rPr>
              <w:t xml:space="preserve">application </w:t>
            </w:r>
            <w:r w:rsidRPr="00E050DD">
              <w:rPr>
                <w:rStyle w:val="jlqj4b"/>
                <w:rFonts w:ascii="Times New Roman" w:hAnsi="Times New Roman" w:cs="Times New Roman"/>
                <w:lang w:val="en-GB"/>
              </w:rPr>
              <w:t>documents.</w:t>
            </w:r>
          </w:p>
          <w:p w14:paraId="30AB13B9" w14:textId="77777777" w:rsidR="007732E1" w:rsidRPr="00E050DD" w:rsidRDefault="007732E1" w:rsidP="007732E1">
            <w:pPr>
              <w:jc w:val="both"/>
              <w:rPr>
                <w:rFonts w:ascii="Times New Roman" w:hAnsi="Times New Roman" w:cs="Times New Roman"/>
                <w:lang w:val="en-GB"/>
              </w:rPr>
            </w:pPr>
            <w:r w:rsidRPr="00E050DD">
              <w:rPr>
                <w:rFonts w:ascii="Times New Roman" w:hAnsi="Times New Roman" w:cs="Times New Roman"/>
                <w:lang w:val="en-GB"/>
              </w:rPr>
              <w:t>The ESPD shall be completed by the candidate in accordance with the requirements set out in the European Commission Implementing Regulation (EU) 2016/7 of 5 January 2016 establishing the standard form for the European Single Procurement Document.</w:t>
            </w:r>
          </w:p>
          <w:p w14:paraId="2E20630B" w14:textId="77777777" w:rsidR="007732E1" w:rsidRPr="00E050DD" w:rsidRDefault="007732E1" w:rsidP="007732E1">
            <w:pPr>
              <w:jc w:val="both"/>
              <w:rPr>
                <w:rFonts w:ascii="Times New Roman" w:hAnsi="Times New Roman" w:cs="Times New Roman"/>
                <w:lang w:val="en-GB"/>
              </w:rPr>
            </w:pPr>
            <w:r w:rsidRPr="00E050DD">
              <w:rPr>
                <w:rFonts w:ascii="Times New Roman" w:hAnsi="Times New Roman" w:cs="Times New Roman"/>
                <w:lang w:val="en-GB"/>
              </w:rPr>
              <w:t xml:space="preserve">Please note, that </w:t>
            </w:r>
            <w:r w:rsidRPr="00E050DD">
              <w:rPr>
                <w:rStyle w:val="jlqj4b"/>
                <w:rFonts w:ascii="Times New Roman" w:hAnsi="Times New Roman" w:cs="Times New Roman"/>
                <w:lang w:val="en-GB"/>
              </w:rPr>
              <w:t xml:space="preserve">attesting compliance by a single mark makes the ESPD inherently uninformative and </w:t>
            </w:r>
            <w:r>
              <w:rPr>
                <w:rStyle w:val="jlqj4b"/>
                <w:rFonts w:ascii="Times New Roman" w:hAnsi="Times New Roman" w:cs="Times New Roman"/>
                <w:lang w:val="en-GB"/>
              </w:rPr>
              <w:t>that can be a reason for the Procurement Commission, for instance,</w:t>
            </w:r>
            <w:r w:rsidRPr="00E050DD">
              <w:rPr>
                <w:rStyle w:val="jlqj4b"/>
                <w:rFonts w:ascii="Times New Roman" w:hAnsi="Times New Roman" w:cs="Times New Roman"/>
                <w:lang w:val="en-GB"/>
              </w:rPr>
              <w:t xml:space="preserve"> to</w:t>
            </w:r>
            <w:r>
              <w:rPr>
                <w:rStyle w:val="jlqj4b"/>
                <w:rFonts w:ascii="Times New Roman" w:hAnsi="Times New Roman" w:cs="Times New Roman"/>
                <w:lang w:val="en-GB"/>
              </w:rPr>
              <w:t xml:space="preserve"> reject the candidate or to</w:t>
            </w:r>
            <w:r w:rsidRPr="00E050DD">
              <w:rPr>
                <w:rStyle w:val="jlqj4b"/>
                <w:rFonts w:ascii="Times New Roman" w:hAnsi="Times New Roman" w:cs="Times New Roman"/>
                <w:lang w:val="en-GB"/>
              </w:rPr>
              <w:t xml:space="preserve"> request information from the candidate to determine even seeming compliance.</w:t>
            </w:r>
          </w:p>
          <w:p w14:paraId="2B8477BC" w14:textId="77777777" w:rsidR="007732E1" w:rsidRPr="00E050DD" w:rsidRDefault="007732E1" w:rsidP="007732E1">
            <w:pPr>
              <w:spacing w:line="256" w:lineRule="auto"/>
              <w:jc w:val="both"/>
              <w:rPr>
                <w:rFonts w:ascii="Times New Roman" w:hAnsi="Times New Roman" w:cs="Times New Roman"/>
                <w:lang w:val="en-GB"/>
              </w:rPr>
            </w:pPr>
            <w:r w:rsidRPr="00E050DD">
              <w:rPr>
                <w:rFonts w:ascii="Times New Roman" w:hAnsi="Times New Roman" w:cs="Times New Roman"/>
                <w:lang w:val="en-GB"/>
              </w:rPr>
              <w:t xml:space="preserve">The European Single Procurement Document is available on the following website: </w:t>
            </w:r>
            <w:hyperlink r:id="rId7" w:history="1">
              <w:r w:rsidRPr="00E050DD">
                <w:rPr>
                  <w:rStyle w:val="Hyperlink"/>
                  <w:rFonts w:ascii="Times New Roman" w:hAnsi="Times New Roman" w:cs="Times New Roman"/>
                  <w:lang w:val="en-GB"/>
                </w:rPr>
                <w:t>http://espd.eis.gov.lv/</w:t>
              </w:r>
            </w:hyperlink>
            <w:r w:rsidRPr="00E050DD">
              <w:rPr>
                <w:rFonts w:ascii="Times New Roman" w:hAnsi="Times New Roman" w:cs="Times New Roman"/>
                <w:lang w:val="en-GB"/>
              </w:rPr>
              <w:t>.</w:t>
            </w:r>
          </w:p>
          <w:p w14:paraId="13F23FDD" w14:textId="77777777" w:rsidR="007732E1" w:rsidRPr="00E050DD" w:rsidRDefault="007732E1" w:rsidP="007732E1">
            <w:pPr>
              <w:spacing w:line="256" w:lineRule="auto"/>
              <w:jc w:val="both"/>
              <w:rPr>
                <w:rFonts w:ascii="Times New Roman" w:hAnsi="Times New Roman" w:cs="Times New Roman"/>
                <w:lang w:val="en-GB"/>
              </w:rPr>
            </w:pPr>
            <w:r w:rsidRPr="00E050DD">
              <w:rPr>
                <w:rFonts w:ascii="Times New Roman" w:hAnsi="Times New Roman" w:cs="Times New Roman"/>
                <w:lang w:val="en-GB"/>
              </w:rPr>
              <w:t>For more information on ESPD, please check this links:</w:t>
            </w:r>
          </w:p>
          <w:p w14:paraId="4F88CF96" w14:textId="77777777" w:rsidR="007732E1" w:rsidRPr="00E050DD" w:rsidRDefault="007732E1" w:rsidP="007732E1">
            <w:pPr>
              <w:spacing w:line="256" w:lineRule="auto"/>
              <w:jc w:val="both"/>
              <w:rPr>
                <w:rStyle w:val="Hyperlink"/>
                <w:lang w:val="en-GB"/>
              </w:rPr>
            </w:pPr>
            <w:r w:rsidRPr="00E050DD">
              <w:rPr>
                <w:rFonts w:ascii="Times New Roman" w:hAnsi="Times New Roman" w:cs="Times New Roman"/>
                <w:lang w:val="en-GB"/>
              </w:rPr>
              <w:t xml:space="preserve">1) </w:t>
            </w:r>
            <w:hyperlink r:id="rId8" w:history="1">
              <w:r w:rsidRPr="00E050DD">
                <w:rPr>
                  <w:rStyle w:val="Hyperlink"/>
                  <w:rFonts w:ascii="Times New Roman" w:hAnsi="Times New Roman" w:cs="Times New Roman"/>
                  <w:lang w:val="en-GB"/>
                </w:rPr>
                <w:t>https://ec.europa.eu/growth/single-market/public-procurement/digital/espd_en</w:t>
              </w:r>
            </w:hyperlink>
          </w:p>
          <w:p w14:paraId="4E908036" w14:textId="77777777" w:rsidR="007732E1" w:rsidRPr="00E050DD" w:rsidRDefault="007732E1" w:rsidP="007732E1">
            <w:pPr>
              <w:jc w:val="both"/>
              <w:rPr>
                <w:rFonts w:ascii="Times New Roman" w:hAnsi="Times New Roman" w:cs="Times New Roman"/>
                <w:lang w:val="en-GB"/>
              </w:rPr>
            </w:pPr>
            <w:r w:rsidRPr="00E050DD">
              <w:rPr>
                <w:rFonts w:ascii="Times New Roman" w:hAnsi="Times New Roman" w:cs="Times New Roman"/>
                <w:lang w:val="en-GB"/>
              </w:rPr>
              <w:t xml:space="preserve">2) </w:t>
            </w:r>
            <w:hyperlink r:id="rId9" w:history="1">
              <w:r w:rsidRPr="00E050DD">
                <w:rPr>
                  <w:rStyle w:val="Hyperlink"/>
                  <w:rFonts w:ascii="Times New Roman" w:hAnsi="Times New Roman" w:cs="Times New Roman"/>
                  <w:lang w:val="en-GB"/>
                </w:rPr>
                <w:t>https://audiovisual.ec.europa.eu/en/video/I-125339</w:t>
              </w:r>
            </w:hyperlink>
            <w:r w:rsidRPr="00E050DD">
              <w:rPr>
                <w:rFonts w:ascii="Times New Roman" w:hAnsi="Times New Roman" w:cs="Times New Roman"/>
                <w:lang w:val="en-GB"/>
              </w:rPr>
              <w:t xml:space="preserve"> </w:t>
            </w:r>
          </w:p>
          <w:p w14:paraId="7FCA5EDF" w14:textId="189385D7" w:rsidR="007732E1" w:rsidRPr="005E79D7" w:rsidRDefault="007732E1" w:rsidP="007732E1">
            <w:pPr>
              <w:spacing w:before="60" w:after="60" w:line="256" w:lineRule="auto"/>
              <w:jc w:val="both"/>
              <w:rPr>
                <w:rFonts w:ascii="Times New Roman" w:hAnsi="Times New Roman" w:cs="Times New Roman"/>
                <w:lang w:val="en-GB"/>
              </w:rPr>
            </w:pPr>
            <w:r w:rsidRPr="00E050DD">
              <w:rPr>
                <w:rFonts w:ascii="Times New Roman" w:hAnsi="Times New Roman" w:cs="Times New Roman"/>
                <w:lang w:val="en-GB"/>
              </w:rPr>
              <w:t xml:space="preserve">If you are interested in the answers to the most frequently asked questions about the ESPD, please check this link: </w:t>
            </w:r>
            <w:hyperlink r:id="rId10" w:history="1">
              <w:r w:rsidRPr="00E050DD">
                <w:rPr>
                  <w:rStyle w:val="Hyperlink"/>
                  <w:rFonts w:ascii="Times New Roman" w:hAnsi="Times New Roman" w:cs="Times New Roman"/>
                  <w:lang w:val="en-GB"/>
                </w:rPr>
                <w:t>FAQ leaflet</w:t>
              </w:r>
            </w:hyperlink>
            <w:r w:rsidRPr="00E050DD">
              <w:rPr>
                <w:rStyle w:val="Hyperlink"/>
                <w:rFonts w:ascii="Times New Roman" w:hAnsi="Times New Roman" w:cs="Times New Roman"/>
                <w:lang w:val="en-GB"/>
              </w:rPr>
              <w:t>.</w:t>
            </w:r>
          </w:p>
        </w:tc>
      </w:tr>
    </w:tbl>
    <w:p w14:paraId="557CD614" w14:textId="50F19C72" w:rsidR="004463DA" w:rsidRDefault="004463DA" w:rsidP="00FF6961">
      <w:pPr>
        <w:spacing w:before="60" w:after="60"/>
        <w:rPr>
          <w:rFonts w:ascii="Times New Roman" w:hAnsi="Times New Roman" w:cs="Times New Roman"/>
          <w:lang w:val="en-GB"/>
        </w:rPr>
      </w:pPr>
    </w:p>
    <w:p w14:paraId="2513B4F7" w14:textId="520F2C62" w:rsidR="000B0BCE" w:rsidRPr="00AF71CE" w:rsidRDefault="000937BC" w:rsidP="003B78C7">
      <w:pPr>
        <w:spacing w:after="0"/>
        <w:rPr>
          <w:rFonts w:ascii="Times New Roman" w:hAnsi="Times New Roman" w:cs="Times New Roman"/>
          <w:lang w:val="en-GB"/>
        </w:rPr>
      </w:pPr>
      <w:r w:rsidRPr="00B75252">
        <w:rPr>
          <w:rFonts w:ascii="Times New Roman" w:hAnsi="Times New Roman" w:cs="Times New Roman"/>
          <w:lang w:val="en-GB"/>
        </w:rPr>
        <w:tab/>
      </w:r>
    </w:p>
    <w:p w14:paraId="72A015E7" w14:textId="253DEABA" w:rsidR="001A7F11" w:rsidRPr="00AF71CE" w:rsidRDefault="001A7F11" w:rsidP="001C4C35">
      <w:pPr>
        <w:pStyle w:val="LG-paligiekartas3"/>
        <w:tabs>
          <w:tab w:val="clear" w:pos="1080"/>
        </w:tabs>
        <w:rPr>
          <w:sz w:val="22"/>
          <w:szCs w:val="22"/>
        </w:rPr>
      </w:pPr>
      <w:r w:rsidRPr="00AF71CE">
        <w:rPr>
          <w:sz w:val="22"/>
          <w:szCs w:val="22"/>
        </w:rPr>
        <w:t xml:space="preserve">Chairman of the </w:t>
      </w:r>
      <w:r w:rsidR="001C4C35">
        <w:rPr>
          <w:rStyle w:val="jlqj4b"/>
        </w:rPr>
        <w:t>C</w:t>
      </w:r>
      <w:r w:rsidR="001C4C35" w:rsidRPr="007F5BE4">
        <w:rPr>
          <w:rStyle w:val="jlqj4b"/>
        </w:rPr>
        <w:t>ommission</w:t>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Pr="00AF71CE">
        <w:rPr>
          <w:sz w:val="22"/>
          <w:szCs w:val="22"/>
        </w:rPr>
        <w:tab/>
      </w:r>
      <w:r w:rsidRPr="00AF71CE">
        <w:rPr>
          <w:sz w:val="22"/>
          <w:szCs w:val="22"/>
        </w:rPr>
        <w:tab/>
      </w:r>
      <w:r w:rsidRPr="00AF71CE">
        <w:rPr>
          <w:sz w:val="22"/>
          <w:szCs w:val="22"/>
        </w:rPr>
        <w:tab/>
      </w:r>
      <w:r w:rsidRPr="00AF71CE">
        <w:rPr>
          <w:sz w:val="22"/>
          <w:szCs w:val="22"/>
        </w:rPr>
        <w:tab/>
      </w:r>
      <w:r w:rsidRPr="00AF71CE">
        <w:rPr>
          <w:sz w:val="22"/>
          <w:szCs w:val="22"/>
        </w:rPr>
        <w:tab/>
      </w:r>
      <w:r w:rsidRPr="00AF71CE">
        <w:rPr>
          <w:sz w:val="22"/>
          <w:szCs w:val="22"/>
        </w:rPr>
        <w:tab/>
        <w:t xml:space="preserve">              A. Tereševs</w:t>
      </w:r>
    </w:p>
    <w:p w14:paraId="2C0C6589" w14:textId="77777777" w:rsidR="001A7F11" w:rsidRPr="00AF71CE" w:rsidRDefault="001A7F11" w:rsidP="00FF6961">
      <w:pPr>
        <w:spacing w:before="60" w:after="60"/>
        <w:rPr>
          <w:rFonts w:ascii="Times New Roman" w:hAnsi="Times New Roman" w:cs="Times New Roman"/>
          <w:lang w:val="en-GB"/>
        </w:rPr>
      </w:pPr>
    </w:p>
    <w:sectPr w:rsidR="001A7F11" w:rsidRPr="00AF71CE" w:rsidSect="0074367D">
      <w:footerReference w:type="default" r:id="rId11"/>
      <w:pgSz w:w="15840" w:h="12240" w:orient="landscape"/>
      <w:pgMar w:top="709"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D496" w14:textId="77777777" w:rsidR="00BE04DE" w:rsidRDefault="00BE04DE" w:rsidP="00B71742">
      <w:pPr>
        <w:spacing w:after="0" w:line="240" w:lineRule="auto"/>
      </w:pPr>
      <w:r>
        <w:separator/>
      </w:r>
    </w:p>
  </w:endnote>
  <w:endnote w:type="continuationSeparator" w:id="0">
    <w:p w14:paraId="08379E68" w14:textId="77777777" w:rsidR="00BE04DE" w:rsidRDefault="00BE04DE" w:rsidP="00B7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71311"/>
      <w:docPartObj>
        <w:docPartGallery w:val="Page Numbers (Bottom of Page)"/>
        <w:docPartUnique/>
      </w:docPartObj>
    </w:sdtPr>
    <w:sdtEndPr>
      <w:rPr>
        <w:noProof/>
      </w:rPr>
    </w:sdtEndPr>
    <w:sdtContent>
      <w:p w14:paraId="00EE5DBF" w14:textId="328631F8" w:rsidR="0018335D" w:rsidRDefault="00183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210E9" w14:textId="77777777" w:rsidR="0018335D" w:rsidRDefault="00183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EB23" w14:textId="77777777" w:rsidR="00BE04DE" w:rsidRDefault="00BE04DE" w:rsidP="00B71742">
      <w:pPr>
        <w:spacing w:after="0" w:line="240" w:lineRule="auto"/>
      </w:pPr>
      <w:r>
        <w:separator/>
      </w:r>
    </w:p>
  </w:footnote>
  <w:footnote w:type="continuationSeparator" w:id="0">
    <w:p w14:paraId="791941D7" w14:textId="77777777" w:rsidR="00BE04DE" w:rsidRDefault="00BE04DE" w:rsidP="00B71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D72"/>
    <w:multiLevelType w:val="multilevel"/>
    <w:tmpl w:val="E95641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069C3"/>
    <w:multiLevelType w:val="hybridMultilevel"/>
    <w:tmpl w:val="C336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4FE"/>
    <w:multiLevelType w:val="hybridMultilevel"/>
    <w:tmpl w:val="E820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D1C2A"/>
    <w:multiLevelType w:val="multilevel"/>
    <w:tmpl w:val="7174D0B6"/>
    <w:lvl w:ilvl="0">
      <w:start w:val="2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9756A"/>
    <w:multiLevelType w:val="hybridMultilevel"/>
    <w:tmpl w:val="F8AA19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8CC26BF"/>
    <w:multiLevelType w:val="hybridMultilevel"/>
    <w:tmpl w:val="52889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B1EE0"/>
    <w:multiLevelType w:val="multilevel"/>
    <w:tmpl w:val="67F23A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934A0"/>
    <w:multiLevelType w:val="hybridMultilevel"/>
    <w:tmpl w:val="4668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473B"/>
    <w:multiLevelType w:val="hybridMultilevel"/>
    <w:tmpl w:val="ABD82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4D7C45"/>
    <w:multiLevelType w:val="multilevel"/>
    <w:tmpl w:val="64E87F68"/>
    <w:lvl w:ilvl="0">
      <w:start w:val="19"/>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13979"/>
    <w:multiLevelType w:val="multilevel"/>
    <w:tmpl w:val="43184052"/>
    <w:lvl w:ilvl="0">
      <w:start w:val="2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7F6E44"/>
    <w:multiLevelType w:val="hybridMultilevel"/>
    <w:tmpl w:val="39D4E070"/>
    <w:lvl w:ilvl="0" w:tplc="ECEA80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3B7BB8"/>
    <w:multiLevelType w:val="multilevel"/>
    <w:tmpl w:val="1EFC077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0A7EF9"/>
    <w:multiLevelType w:val="hybridMultilevel"/>
    <w:tmpl w:val="AB8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F6F6E"/>
    <w:multiLevelType w:val="multilevel"/>
    <w:tmpl w:val="5148C7B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D2E"/>
    <w:multiLevelType w:val="hybridMultilevel"/>
    <w:tmpl w:val="2984F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3D0368"/>
    <w:multiLevelType w:val="multilevel"/>
    <w:tmpl w:val="B9A22E88"/>
    <w:lvl w:ilvl="0">
      <w:start w:val="3"/>
      <w:numFmt w:val="decimal"/>
      <w:lvlText w:val="%1"/>
      <w:lvlJc w:val="left"/>
      <w:pPr>
        <w:ind w:left="450" w:hanging="450"/>
      </w:pPr>
    </w:lvl>
    <w:lvl w:ilvl="1">
      <w:start w:val="3"/>
      <w:numFmt w:val="decimal"/>
      <w:lvlText w:val="%1.%2"/>
      <w:lvlJc w:val="left"/>
      <w:pPr>
        <w:ind w:left="1530" w:hanging="450"/>
      </w:pPr>
    </w:lvl>
    <w:lvl w:ilvl="2">
      <w:start w:val="3"/>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7" w15:restartNumberingAfterBreak="0">
    <w:nsid w:val="27896C4B"/>
    <w:multiLevelType w:val="multilevel"/>
    <w:tmpl w:val="6ABA01F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7953ED"/>
    <w:multiLevelType w:val="multilevel"/>
    <w:tmpl w:val="FF7C036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36583F"/>
    <w:multiLevelType w:val="hybridMultilevel"/>
    <w:tmpl w:val="601EBC04"/>
    <w:lvl w:ilvl="0" w:tplc="49629A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65F94"/>
    <w:multiLevelType w:val="multilevel"/>
    <w:tmpl w:val="F72AAC4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C751A7"/>
    <w:multiLevelType w:val="hybridMultilevel"/>
    <w:tmpl w:val="8B42F55E"/>
    <w:lvl w:ilvl="0" w:tplc="1A102AD0">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F05C87"/>
    <w:multiLevelType w:val="multilevel"/>
    <w:tmpl w:val="018A513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731DC7"/>
    <w:multiLevelType w:val="multilevel"/>
    <w:tmpl w:val="00CE3510"/>
    <w:lvl w:ilvl="0">
      <w:start w:val="3"/>
      <w:numFmt w:val="decimal"/>
      <w:lvlText w:val="%1."/>
      <w:lvlJc w:val="left"/>
      <w:pPr>
        <w:ind w:left="510" w:hanging="510"/>
      </w:pPr>
    </w:lvl>
    <w:lvl w:ilvl="1">
      <w:start w:val="3"/>
      <w:numFmt w:val="decimal"/>
      <w:lvlText w:val="%1.%2."/>
      <w:lvlJc w:val="left"/>
      <w:pPr>
        <w:ind w:left="1590" w:hanging="510"/>
      </w:pPr>
    </w:lvl>
    <w:lvl w:ilvl="2">
      <w:start w:val="4"/>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4A1249E7"/>
    <w:multiLevelType w:val="multilevel"/>
    <w:tmpl w:val="BE5A00D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532074"/>
    <w:multiLevelType w:val="multilevel"/>
    <w:tmpl w:val="7C7E62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1A64A8"/>
    <w:multiLevelType w:val="hybridMultilevel"/>
    <w:tmpl w:val="17CE8A96"/>
    <w:lvl w:ilvl="0" w:tplc="4F90A72E">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AA0462"/>
    <w:multiLevelType w:val="hybridMultilevel"/>
    <w:tmpl w:val="B5120D88"/>
    <w:lvl w:ilvl="0" w:tplc="B8CA97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B3ADF"/>
    <w:multiLevelType w:val="multilevel"/>
    <w:tmpl w:val="697044F2"/>
    <w:lvl w:ilvl="0">
      <w:start w:val="1"/>
      <w:numFmt w:val="decimal"/>
      <w:pStyle w:val="H1Ashurst"/>
      <w:lvlText w:val="%1."/>
      <w:lvlJc w:val="left"/>
      <w:pPr>
        <w:tabs>
          <w:tab w:val="num" w:pos="782"/>
        </w:tabs>
        <w:ind w:left="782" w:hanging="782"/>
      </w:pPr>
      <w:rPr>
        <w:rFonts w:hint="default"/>
        <w:b w:val="0"/>
        <w:i w:val="0"/>
        <w:color w:val="auto"/>
        <w:sz w:val="18"/>
      </w:rPr>
    </w:lvl>
    <w:lvl w:ilvl="1">
      <w:start w:val="1"/>
      <w:numFmt w:val="decimal"/>
      <w:pStyle w:val="H2Ashurst"/>
      <w:lvlText w:val="%1.%2"/>
      <w:lvlJc w:val="left"/>
      <w:pPr>
        <w:tabs>
          <w:tab w:val="num" w:pos="782"/>
        </w:tabs>
        <w:ind w:left="782" w:hanging="782"/>
      </w:pPr>
      <w:rPr>
        <w:rFonts w:hint="default"/>
        <w:b w:val="0"/>
        <w:i w:val="0"/>
        <w:color w:val="auto"/>
        <w:sz w:val="18"/>
        <w:szCs w:val="18"/>
      </w:rPr>
    </w:lvl>
    <w:lvl w:ilvl="2">
      <w:start w:val="1"/>
      <w:numFmt w:val="lowerLetter"/>
      <w:pStyle w:val="H3Ashurst"/>
      <w:lvlText w:val="(%3)"/>
      <w:lvlJc w:val="left"/>
      <w:pPr>
        <w:tabs>
          <w:tab w:val="num" w:pos="1475"/>
        </w:tabs>
        <w:ind w:left="1475" w:hanging="624"/>
      </w:pPr>
      <w:rPr>
        <w:rFonts w:asciiTheme="majorHAnsi" w:hAnsiTheme="majorHAnsi" w:hint="default"/>
        <w:b w:val="0"/>
        <w:i w:val="0"/>
        <w:strike w:val="0"/>
        <w:color w:val="auto"/>
        <w:sz w:val="18"/>
        <w:szCs w:val="18"/>
      </w:rPr>
    </w:lvl>
    <w:lvl w:ilvl="3">
      <w:start w:val="1"/>
      <w:numFmt w:val="lowerRoman"/>
      <w:pStyle w:val="H4Ashurst"/>
      <w:lvlText w:val="(%4)"/>
      <w:lvlJc w:val="left"/>
      <w:pPr>
        <w:tabs>
          <w:tab w:val="num" w:pos="2030"/>
        </w:tabs>
        <w:ind w:left="2030" w:hanging="624"/>
      </w:pPr>
      <w:rPr>
        <w:rFonts w:hint="default"/>
        <w:b w:val="0"/>
        <w:i w:val="0"/>
        <w:color w:val="auto"/>
        <w:sz w:val="18"/>
        <w:szCs w:val="18"/>
      </w:rPr>
    </w:lvl>
    <w:lvl w:ilvl="4">
      <w:start w:val="1"/>
      <w:numFmt w:val="upperLetter"/>
      <w:pStyle w:val="H5Ashurst"/>
      <w:lvlText w:val="(%5)"/>
      <w:lvlJc w:val="left"/>
      <w:pPr>
        <w:tabs>
          <w:tab w:val="num" w:pos="2653"/>
        </w:tabs>
        <w:ind w:left="2653" w:hanging="623"/>
      </w:pPr>
      <w:rPr>
        <w:rFonts w:hint="default"/>
        <w:b w:val="0"/>
        <w:i w:val="0"/>
        <w:color w:val="auto"/>
        <w:sz w:val="18"/>
        <w:szCs w:val="18"/>
      </w:rPr>
    </w:lvl>
    <w:lvl w:ilvl="5">
      <w:start w:val="27"/>
      <w:numFmt w:val="lowerLetter"/>
      <w:pStyle w:val="H6Ashurst"/>
      <w:lvlText w:val="(%6)"/>
      <w:lvlJc w:val="left"/>
      <w:pPr>
        <w:tabs>
          <w:tab w:val="num" w:pos="3277"/>
        </w:tabs>
        <w:ind w:left="3277" w:hanging="624"/>
      </w:pPr>
      <w:rPr>
        <w:rFonts w:hint="default"/>
        <w:b w:val="0"/>
        <w:i w:val="0"/>
        <w:color w:val="auto"/>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4F5F46D7"/>
    <w:multiLevelType w:val="hybridMultilevel"/>
    <w:tmpl w:val="561E5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FB1E1E"/>
    <w:multiLevelType w:val="multilevel"/>
    <w:tmpl w:val="129891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AF7601"/>
    <w:multiLevelType w:val="multilevel"/>
    <w:tmpl w:val="C074BD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B926BA"/>
    <w:multiLevelType w:val="hybridMultilevel"/>
    <w:tmpl w:val="88DCD5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7376AB"/>
    <w:multiLevelType w:val="multilevel"/>
    <w:tmpl w:val="A24CE08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9E743F"/>
    <w:multiLevelType w:val="hybridMultilevel"/>
    <w:tmpl w:val="F1D41B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FF7EA3"/>
    <w:multiLevelType w:val="multilevel"/>
    <w:tmpl w:val="15189B8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F870EE"/>
    <w:multiLevelType w:val="multilevel"/>
    <w:tmpl w:val="3FB8CCEE"/>
    <w:lvl w:ilvl="0">
      <w:start w:val="7"/>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BE7E48"/>
    <w:multiLevelType w:val="multilevel"/>
    <w:tmpl w:val="A8E0093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4E49E0"/>
    <w:multiLevelType w:val="multilevel"/>
    <w:tmpl w:val="90DE1AD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4B530B"/>
    <w:multiLevelType w:val="multilevel"/>
    <w:tmpl w:val="02C813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35F3F"/>
    <w:multiLevelType w:val="hybridMultilevel"/>
    <w:tmpl w:val="665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30E8E"/>
    <w:multiLevelType w:val="multilevel"/>
    <w:tmpl w:val="11AA04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6A0B23"/>
    <w:multiLevelType w:val="multilevel"/>
    <w:tmpl w:val="EFBEE98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B42480"/>
    <w:multiLevelType w:val="hybridMultilevel"/>
    <w:tmpl w:val="1780FB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3EB55BE"/>
    <w:multiLevelType w:val="hybridMultilevel"/>
    <w:tmpl w:val="035C610A"/>
    <w:lvl w:ilvl="0" w:tplc="9E50EA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8B2A6A"/>
    <w:multiLevelType w:val="multilevel"/>
    <w:tmpl w:val="AB38FA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5D352C"/>
    <w:multiLevelType w:val="hybridMultilevel"/>
    <w:tmpl w:val="3FE46926"/>
    <w:lvl w:ilvl="0" w:tplc="F9806E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EFD72EF"/>
    <w:multiLevelType w:val="multilevel"/>
    <w:tmpl w:val="2D5A38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1"/>
  </w:num>
  <w:num w:numId="6">
    <w:abstractNumId w:val="35"/>
  </w:num>
  <w:num w:numId="7">
    <w:abstractNumId w:val="45"/>
  </w:num>
  <w:num w:numId="8">
    <w:abstractNumId w:val="47"/>
  </w:num>
  <w:num w:numId="9">
    <w:abstractNumId w:val="41"/>
  </w:num>
  <w:num w:numId="10">
    <w:abstractNumId w:val="22"/>
  </w:num>
  <w:num w:numId="11">
    <w:abstractNumId w:val="42"/>
  </w:num>
  <w:num w:numId="12">
    <w:abstractNumId w:val="37"/>
  </w:num>
  <w:num w:numId="13">
    <w:abstractNumId w:val="18"/>
  </w:num>
  <w:num w:numId="14">
    <w:abstractNumId w:val="24"/>
  </w:num>
  <w:num w:numId="15">
    <w:abstractNumId w:val="38"/>
  </w:num>
  <w:num w:numId="16">
    <w:abstractNumId w:val="33"/>
  </w:num>
  <w:num w:numId="17">
    <w:abstractNumId w:val="9"/>
  </w:num>
  <w:num w:numId="18">
    <w:abstractNumId w:val="14"/>
  </w:num>
  <w:num w:numId="19">
    <w:abstractNumId w:val="20"/>
  </w:num>
  <w:num w:numId="20">
    <w:abstractNumId w:val="10"/>
  </w:num>
  <w:num w:numId="21">
    <w:abstractNumId w:val="11"/>
  </w:num>
  <w:num w:numId="22">
    <w:abstractNumId w:val="12"/>
  </w:num>
  <w:num w:numId="23">
    <w:abstractNumId w:val="3"/>
  </w:num>
  <w:num w:numId="24">
    <w:abstractNumId w:val="32"/>
  </w:num>
  <w:num w:numId="25">
    <w:abstractNumId w:val="13"/>
  </w:num>
  <w:num w:numId="26">
    <w:abstractNumId w:val="40"/>
  </w:num>
  <w:num w:numId="27">
    <w:abstractNumId w:val="2"/>
  </w:num>
  <w:num w:numId="28">
    <w:abstractNumId w:val="1"/>
  </w:num>
  <w:num w:numId="29">
    <w:abstractNumId w:val="7"/>
  </w:num>
  <w:num w:numId="30">
    <w:abstractNumId w:val="44"/>
  </w:num>
  <w:num w:numId="31">
    <w:abstractNumId w:val="27"/>
  </w:num>
  <w:num w:numId="32">
    <w:abstractNumId w:val="29"/>
  </w:num>
  <w:num w:numId="33">
    <w:abstractNumId w:val="19"/>
  </w:num>
  <w:num w:numId="34">
    <w:abstractNumId w:val="15"/>
  </w:num>
  <w:num w:numId="35">
    <w:abstractNumId w:val="39"/>
  </w:num>
  <w:num w:numId="36">
    <w:abstractNumId w:val="30"/>
  </w:num>
  <w:num w:numId="37">
    <w:abstractNumId w:val="6"/>
  </w:num>
  <w:num w:numId="38">
    <w:abstractNumId w:val="17"/>
  </w:num>
  <w:num w:numId="39">
    <w:abstractNumId w:val="36"/>
  </w:num>
  <w:num w:numId="40">
    <w:abstractNumId w:val="25"/>
  </w:num>
  <w:num w:numId="41">
    <w:abstractNumId w:val="28"/>
  </w:num>
  <w:num w:numId="42">
    <w:abstractNumId w:val="46"/>
  </w:num>
  <w:num w:numId="43">
    <w:abstractNumId w:val="34"/>
  </w:num>
  <w:num w:numId="44">
    <w:abstractNumId w:val="0"/>
  </w:num>
  <w:num w:numId="45">
    <w:abstractNumId w:val="16"/>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4C"/>
    <w:rsid w:val="000001AF"/>
    <w:rsid w:val="000129B5"/>
    <w:rsid w:val="00035E5F"/>
    <w:rsid w:val="0004168B"/>
    <w:rsid w:val="00070005"/>
    <w:rsid w:val="00071258"/>
    <w:rsid w:val="00071B69"/>
    <w:rsid w:val="000937BC"/>
    <w:rsid w:val="000A6C93"/>
    <w:rsid w:val="000A7615"/>
    <w:rsid w:val="000B0BCE"/>
    <w:rsid w:val="000E1863"/>
    <w:rsid w:val="000F7869"/>
    <w:rsid w:val="0011560F"/>
    <w:rsid w:val="001209E5"/>
    <w:rsid w:val="00125836"/>
    <w:rsid w:val="001371D9"/>
    <w:rsid w:val="001549EC"/>
    <w:rsid w:val="00166863"/>
    <w:rsid w:val="0017261F"/>
    <w:rsid w:val="0018335D"/>
    <w:rsid w:val="00183D92"/>
    <w:rsid w:val="00195CBD"/>
    <w:rsid w:val="001A7F11"/>
    <w:rsid w:val="001B095F"/>
    <w:rsid w:val="001B28D8"/>
    <w:rsid w:val="001B4D18"/>
    <w:rsid w:val="001B4F78"/>
    <w:rsid w:val="001C4C35"/>
    <w:rsid w:val="001E4071"/>
    <w:rsid w:val="001F3374"/>
    <w:rsid w:val="00202C15"/>
    <w:rsid w:val="0021319C"/>
    <w:rsid w:val="002139C9"/>
    <w:rsid w:val="002157B8"/>
    <w:rsid w:val="00246228"/>
    <w:rsid w:val="00246C89"/>
    <w:rsid w:val="0025763F"/>
    <w:rsid w:val="002749E4"/>
    <w:rsid w:val="00276308"/>
    <w:rsid w:val="0027714B"/>
    <w:rsid w:val="002A34BC"/>
    <w:rsid w:val="00313424"/>
    <w:rsid w:val="00313592"/>
    <w:rsid w:val="00331009"/>
    <w:rsid w:val="0033453A"/>
    <w:rsid w:val="00343F0B"/>
    <w:rsid w:val="00361C9F"/>
    <w:rsid w:val="00373097"/>
    <w:rsid w:val="00377B65"/>
    <w:rsid w:val="0039247C"/>
    <w:rsid w:val="003B5632"/>
    <w:rsid w:val="003B78C7"/>
    <w:rsid w:val="003D17DD"/>
    <w:rsid w:val="003E071C"/>
    <w:rsid w:val="003F7F2B"/>
    <w:rsid w:val="00426CE6"/>
    <w:rsid w:val="004463DA"/>
    <w:rsid w:val="0047602C"/>
    <w:rsid w:val="00494F49"/>
    <w:rsid w:val="004A36DC"/>
    <w:rsid w:val="004B0821"/>
    <w:rsid w:val="004B280B"/>
    <w:rsid w:val="004D3445"/>
    <w:rsid w:val="004D4152"/>
    <w:rsid w:val="004D5E6A"/>
    <w:rsid w:val="005240CE"/>
    <w:rsid w:val="0052421A"/>
    <w:rsid w:val="005356B6"/>
    <w:rsid w:val="00543620"/>
    <w:rsid w:val="005608A6"/>
    <w:rsid w:val="005B7C5F"/>
    <w:rsid w:val="005C0843"/>
    <w:rsid w:val="005C43F7"/>
    <w:rsid w:val="005E79D7"/>
    <w:rsid w:val="00613370"/>
    <w:rsid w:val="00614064"/>
    <w:rsid w:val="0063527D"/>
    <w:rsid w:val="00642FF9"/>
    <w:rsid w:val="00652E0A"/>
    <w:rsid w:val="00664504"/>
    <w:rsid w:val="0067427F"/>
    <w:rsid w:val="00675795"/>
    <w:rsid w:val="00681C65"/>
    <w:rsid w:val="006838A0"/>
    <w:rsid w:val="006D12B8"/>
    <w:rsid w:val="006F2800"/>
    <w:rsid w:val="00706BC8"/>
    <w:rsid w:val="007215C7"/>
    <w:rsid w:val="0074367D"/>
    <w:rsid w:val="007508B1"/>
    <w:rsid w:val="007732E1"/>
    <w:rsid w:val="00784894"/>
    <w:rsid w:val="00791BA1"/>
    <w:rsid w:val="007F1C0D"/>
    <w:rsid w:val="007F5BE4"/>
    <w:rsid w:val="00860541"/>
    <w:rsid w:val="00863373"/>
    <w:rsid w:val="008641BB"/>
    <w:rsid w:val="00866998"/>
    <w:rsid w:val="008A25CE"/>
    <w:rsid w:val="008A5ECB"/>
    <w:rsid w:val="00906A03"/>
    <w:rsid w:val="009117D3"/>
    <w:rsid w:val="00922928"/>
    <w:rsid w:val="00931A4C"/>
    <w:rsid w:val="0095572D"/>
    <w:rsid w:val="009608BC"/>
    <w:rsid w:val="009A2D8C"/>
    <w:rsid w:val="009B153C"/>
    <w:rsid w:val="009E7CF8"/>
    <w:rsid w:val="00A069B3"/>
    <w:rsid w:val="00A14F4B"/>
    <w:rsid w:val="00A33CBC"/>
    <w:rsid w:val="00A37885"/>
    <w:rsid w:val="00A44DFD"/>
    <w:rsid w:val="00A55E63"/>
    <w:rsid w:val="00A765F2"/>
    <w:rsid w:val="00A86BA0"/>
    <w:rsid w:val="00A922D0"/>
    <w:rsid w:val="00A95166"/>
    <w:rsid w:val="00AB3B6B"/>
    <w:rsid w:val="00AB77F9"/>
    <w:rsid w:val="00AD3026"/>
    <w:rsid w:val="00AD76D1"/>
    <w:rsid w:val="00AF2D54"/>
    <w:rsid w:val="00AF71CE"/>
    <w:rsid w:val="00B55CA1"/>
    <w:rsid w:val="00B603D9"/>
    <w:rsid w:val="00B71742"/>
    <w:rsid w:val="00B7761D"/>
    <w:rsid w:val="00BC716A"/>
    <w:rsid w:val="00BD15FB"/>
    <w:rsid w:val="00BE04DE"/>
    <w:rsid w:val="00C25D81"/>
    <w:rsid w:val="00C36C97"/>
    <w:rsid w:val="00C45D27"/>
    <w:rsid w:val="00C50F21"/>
    <w:rsid w:val="00C52790"/>
    <w:rsid w:val="00C57CC4"/>
    <w:rsid w:val="00C61FF3"/>
    <w:rsid w:val="00C71930"/>
    <w:rsid w:val="00C719E9"/>
    <w:rsid w:val="00C74EE2"/>
    <w:rsid w:val="00C96A1F"/>
    <w:rsid w:val="00CE4CBE"/>
    <w:rsid w:val="00D0135E"/>
    <w:rsid w:val="00D04BBE"/>
    <w:rsid w:val="00D22332"/>
    <w:rsid w:val="00D45D5C"/>
    <w:rsid w:val="00D476B1"/>
    <w:rsid w:val="00D5131B"/>
    <w:rsid w:val="00D57237"/>
    <w:rsid w:val="00D60C31"/>
    <w:rsid w:val="00D660B4"/>
    <w:rsid w:val="00D72025"/>
    <w:rsid w:val="00D7355A"/>
    <w:rsid w:val="00D778F3"/>
    <w:rsid w:val="00D86D62"/>
    <w:rsid w:val="00D97888"/>
    <w:rsid w:val="00DC556A"/>
    <w:rsid w:val="00E00BEA"/>
    <w:rsid w:val="00E0640F"/>
    <w:rsid w:val="00E242B1"/>
    <w:rsid w:val="00E32789"/>
    <w:rsid w:val="00E337AD"/>
    <w:rsid w:val="00E36221"/>
    <w:rsid w:val="00E44371"/>
    <w:rsid w:val="00E46218"/>
    <w:rsid w:val="00E57FB8"/>
    <w:rsid w:val="00EC0F0E"/>
    <w:rsid w:val="00EC2C3A"/>
    <w:rsid w:val="00EC42DB"/>
    <w:rsid w:val="00EE20ED"/>
    <w:rsid w:val="00EE55E4"/>
    <w:rsid w:val="00EE676C"/>
    <w:rsid w:val="00EF5567"/>
    <w:rsid w:val="00F13CBA"/>
    <w:rsid w:val="00F4312C"/>
    <w:rsid w:val="00F70EEE"/>
    <w:rsid w:val="00F74F87"/>
    <w:rsid w:val="00FB7D11"/>
    <w:rsid w:val="00FC2C9E"/>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55E9"/>
  <w15:chartTrackingRefBased/>
  <w15:docId w15:val="{0AB2825C-368B-4579-B8E4-1D670B3F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4C"/>
    <w:rPr>
      <w:lang w:val="lv-LV"/>
    </w:rPr>
  </w:style>
  <w:style w:type="paragraph" w:styleId="Heading1">
    <w:name w:val="heading 1"/>
    <w:basedOn w:val="Normal"/>
    <w:next w:val="Normal"/>
    <w:link w:val="Heading1Char1"/>
    <w:qFormat/>
    <w:rsid w:val="000F7869"/>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uiPriority w:val="9"/>
    <w:semiHidden/>
    <w:unhideWhenUsed/>
    <w:qFormat/>
    <w:rsid w:val="000937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1AF"/>
    <w:rPr>
      <w:color w:val="0563C1" w:themeColor="hyperlink"/>
      <w:u w:val="single"/>
    </w:rPr>
  </w:style>
  <w:style w:type="character" w:styleId="UnresolvedMention">
    <w:name w:val="Unresolved Mention"/>
    <w:basedOn w:val="DefaultParagraphFont"/>
    <w:uiPriority w:val="99"/>
    <w:semiHidden/>
    <w:unhideWhenUsed/>
    <w:rsid w:val="000001AF"/>
    <w:rPr>
      <w:color w:val="605E5C"/>
      <w:shd w:val="clear" w:color="auto" w:fill="E1DFDD"/>
    </w:rPr>
  </w:style>
  <w:style w:type="paragraph" w:styleId="BalloonText">
    <w:name w:val="Balloon Text"/>
    <w:basedOn w:val="Normal"/>
    <w:link w:val="BalloonTextChar"/>
    <w:uiPriority w:val="99"/>
    <w:semiHidden/>
    <w:unhideWhenUsed/>
    <w:rsid w:val="00FF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61"/>
    <w:rPr>
      <w:rFonts w:ascii="Segoe UI" w:hAnsi="Segoe UI" w:cs="Segoe UI"/>
      <w:sz w:val="18"/>
      <w:szCs w:val="18"/>
      <w:lang w:val="lv-LV"/>
    </w:rPr>
  </w:style>
  <w:style w:type="character" w:customStyle="1" w:styleId="jlqj4b">
    <w:name w:val="jlqj4b"/>
    <w:basedOn w:val="DefaultParagraphFont"/>
    <w:rsid w:val="00AD76D1"/>
  </w:style>
  <w:style w:type="character" w:styleId="CommentReference">
    <w:name w:val="annotation reference"/>
    <w:basedOn w:val="DefaultParagraphFont"/>
    <w:uiPriority w:val="99"/>
    <w:unhideWhenUsed/>
    <w:rsid w:val="00361C9F"/>
    <w:rPr>
      <w:sz w:val="16"/>
      <w:szCs w:val="16"/>
    </w:rPr>
  </w:style>
  <w:style w:type="paragraph" w:styleId="CommentText">
    <w:name w:val="annotation text"/>
    <w:basedOn w:val="Normal"/>
    <w:link w:val="CommentTextChar"/>
    <w:uiPriority w:val="99"/>
    <w:unhideWhenUsed/>
    <w:rsid w:val="00361C9F"/>
    <w:pPr>
      <w:spacing w:line="240" w:lineRule="auto"/>
    </w:pPr>
    <w:rPr>
      <w:sz w:val="20"/>
      <w:szCs w:val="20"/>
    </w:rPr>
  </w:style>
  <w:style w:type="character" w:customStyle="1" w:styleId="CommentTextChar">
    <w:name w:val="Comment Text Char"/>
    <w:basedOn w:val="DefaultParagraphFont"/>
    <w:link w:val="CommentText"/>
    <w:uiPriority w:val="99"/>
    <w:rsid w:val="00361C9F"/>
    <w:rPr>
      <w:sz w:val="20"/>
      <w:szCs w:val="20"/>
      <w:lang w:val="lv-LV"/>
    </w:rPr>
  </w:style>
  <w:style w:type="paragraph" w:styleId="CommentSubject">
    <w:name w:val="annotation subject"/>
    <w:basedOn w:val="CommentText"/>
    <w:next w:val="CommentText"/>
    <w:link w:val="CommentSubjectChar"/>
    <w:uiPriority w:val="99"/>
    <w:semiHidden/>
    <w:unhideWhenUsed/>
    <w:rsid w:val="00361C9F"/>
    <w:rPr>
      <w:b/>
      <w:bCs/>
    </w:rPr>
  </w:style>
  <w:style w:type="character" w:customStyle="1" w:styleId="CommentSubjectChar">
    <w:name w:val="Comment Subject Char"/>
    <w:basedOn w:val="CommentTextChar"/>
    <w:link w:val="CommentSubject"/>
    <w:uiPriority w:val="99"/>
    <w:semiHidden/>
    <w:rsid w:val="00361C9F"/>
    <w:rPr>
      <w:b/>
      <w:bCs/>
      <w:sz w:val="20"/>
      <w:szCs w:val="20"/>
      <w:lang w:val="lv-LV"/>
    </w:rPr>
  </w:style>
  <w:style w:type="paragraph" w:styleId="ListParagraph">
    <w:name w:val="List Paragraph"/>
    <w:aliases w:val="Strip,H&amp;P List Paragraph,Syle 1,Normal bullet 2,Bullet list,Saistīto dokumentu saraksts,Virsraksti,Párrafo de lista,Numbered Para 1,Dot pt,No Spacing1,List Paragraph Char Char Char,Indicator Text,List Paragraph1,Bullet Points,MAIN CONTENT"/>
    <w:basedOn w:val="Normal"/>
    <w:link w:val="ListParagraphChar"/>
    <w:uiPriority w:val="34"/>
    <w:qFormat/>
    <w:rsid w:val="002157B8"/>
    <w:pPr>
      <w:ind w:left="720"/>
      <w:contextualSpacing/>
    </w:pPr>
  </w:style>
  <w:style w:type="character" w:styleId="FollowedHyperlink">
    <w:name w:val="FollowedHyperlink"/>
    <w:basedOn w:val="DefaultParagraphFont"/>
    <w:uiPriority w:val="99"/>
    <w:semiHidden/>
    <w:unhideWhenUsed/>
    <w:rsid w:val="0047602C"/>
    <w:rPr>
      <w:color w:val="954F72" w:themeColor="followedHyperlink"/>
      <w:u w:val="single"/>
    </w:rPr>
  </w:style>
  <w:style w:type="character" w:customStyle="1" w:styleId="viiyi">
    <w:name w:val="viiyi"/>
    <w:basedOn w:val="DefaultParagraphFont"/>
    <w:rsid w:val="004B280B"/>
  </w:style>
  <w:style w:type="character" w:customStyle="1" w:styleId="hps">
    <w:name w:val="hps"/>
    <w:rsid w:val="00D57237"/>
    <w:rPr>
      <w:rFonts w:cs="Times New Roman"/>
    </w:rPr>
  </w:style>
  <w:style w:type="character" w:customStyle="1" w:styleId="tlid-translation">
    <w:name w:val="tlid-translation"/>
    <w:basedOn w:val="DefaultParagraphFont"/>
    <w:rsid w:val="000E1863"/>
  </w:style>
  <w:style w:type="paragraph" w:customStyle="1" w:styleId="LG-paligiekartas3">
    <w:name w:val="LG-paligiekartas 3"/>
    <w:basedOn w:val="Normal"/>
    <w:rsid w:val="001A7F11"/>
    <w:pPr>
      <w:tabs>
        <w:tab w:val="num" w:pos="1080"/>
      </w:tabs>
      <w:spacing w:after="0" w:line="240" w:lineRule="auto"/>
      <w:ind w:left="737" w:hanging="737"/>
      <w:jc w:val="both"/>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717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1742"/>
    <w:rPr>
      <w:lang w:val="lv-LV"/>
    </w:rPr>
  </w:style>
  <w:style w:type="paragraph" w:styleId="Footer">
    <w:name w:val="footer"/>
    <w:basedOn w:val="Normal"/>
    <w:link w:val="FooterChar"/>
    <w:unhideWhenUsed/>
    <w:rsid w:val="00B717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1742"/>
    <w:rPr>
      <w:lang w:val="lv-LV"/>
    </w:rPr>
  </w:style>
  <w:style w:type="character" w:customStyle="1" w:styleId="ListParagraphChar">
    <w:name w:val="List Paragraph Char"/>
    <w:aliases w:val="Strip Char,H&amp;P List Paragraph Char,Syle 1 Char,Normal bullet 2 Char,Bullet list Char,Saistīto dokumentu saraksts Char,Virsraksti Char,Párrafo de lista Char,Numbered Para 1 Char,Dot pt Char,No Spacing1 Char,Indicator Text Char"/>
    <w:basedOn w:val="DefaultParagraphFont"/>
    <w:link w:val="ListParagraph"/>
    <w:uiPriority w:val="34"/>
    <w:qFormat/>
    <w:rsid w:val="00A55E63"/>
    <w:rPr>
      <w:lang w:val="lv-LV"/>
    </w:rPr>
  </w:style>
  <w:style w:type="character" w:customStyle="1" w:styleId="Heading1Char">
    <w:name w:val="Heading 1 Char"/>
    <w:basedOn w:val="DefaultParagraphFont"/>
    <w:uiPriority w:val="9"/>
    <w:rsid w:val="000F7869"/>
    <w:rPr>
      <w:rFonts w:asciiTheme="majorHAnsi" w:eastAsiaTheme="majorEastAsia" w:hAnsiTheme="majorHAnsi" w:cstheme="majorBidi"/>
      <w:color w:val="2F5496" w:themeColor="accent1" w:themeShade="BF"/>
      <w:sz w:val="32"/>
      <w:szCs w:val="32"/>
      <w:lang w:val="lv-LV"/>
    </w:rPr>
  </w:style>
  <w:style w:type="character" w:customStyle="1" w:styleId="Heading1Char1">
    <w:name w:val="Heading 1 Char1"/>
    <w:link w:val="Heading1"/>
    <w:locked/>
    <w:rsid w:val="000F7869"/>
    <w:rPr>
      <w:rFonts w:ascii="Arial" w:eastAsia="Times New Roman" w:hAnsi="Arial" w:cs="Arial"/>
      <w:b/>
      <w:bCs/>
      <w:kern w:val="32"/>
      <w:sz w:val="32"/>
      <w:szCs w:val="32"/>
    </w:rPr>
  </w:style>
  <w:style w:type="paragraph" w:styleId="BodyText2">
    <w:name w:val="Body Text 2"/>
    <w:basedOn w:val="Normal"/>
    <w:link w:val="BodyText2Char"/>
    <w:semiHidden/>
    <w:unhideWhenUsed/>
    <w:rsid w:val="00D86D62"/>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D86D62"/>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0937BC"/>
    <w:rPr>
      <w:rFonts w:asciiTheme="majorHAnsi" w:eastAsiaTheme="majorEastAsia" w:hAnsiTheme="majorHAnsi" w:cstheme="majorBidi"/>
      <w:color w:val="1F3763" w:themeColor="accent1" w:themeShade="7F"/>
      <w:sz w:val="24"/>
      <w:szCs w:val="24"/>
      <w:lang w:val="lv-LV"/>
    </w:rPr>
  </w:style>
  <w:style w:type="paragraph" w:customStyle="1" w:styleId="tv213">
    <w:name w:val="tv213"/>
    <w:basedOn w:val="Normal"/>
    <w:rsid w:val="000937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937B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FooterChar1">
    <w:name w:val="Footer Char1"/>
    <w:locked/>
    <w:rsid w:val="000937BC"/>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0937BC"/>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0937BC"/>
    <w:rPr>
      <w:rFonts w:ascii="Arial" w:eastAsia="Times New Roman" w:hAnsi="Arial" w:cs="Times New Roman"/>
      <w:sz w:val="20"/>
      <w:szCs w:val="20"/>
    </w:rPr>
  </w:style>
  <w:style w:type="character" w:styleId="FootnoteReference">
    <w:name w:val="footnote reference"/>
    <w:basedOn w:val="DefaultParagraphFont"/>
    <w:semiHidden/>
    <w:unhideWhenUsed/>
    <w:rsid w:val="000937BC"/>
    <w:rPr>
      <w:vertAlign w:val="superscript"/>
    </w:rPr>
  </w:style>
  <w:style w:type="paragraph" w:styleId="BodyTextIndent">
    <w:name w:val="Body Text Indent"/>
    <w:basedOn w:val="Normal"/>
    <w:link w:val="BodyTextIndentChar"/>
    <w:uiPriority w:val="99"/>
    <w:rsid w:val="000937BC"/>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0937BC"/>
    <w:rPr>
      <w:rFonts w:ascii="Times New Roman" w:eastAsia="Times New Roman" w:hAnsi="Times New Roman" w:cs="Times New Roman"/>
      <w:sz w:val="24"/>
      <w:szCs w:val="20"/>
    </w:rPr>
  </w:style>
  <w:style w:type="paragraph" w:customStyle="1" w:styleId="H1Ashurst">
    <w:name w:val="H1Ashurst"/>
    <w:basedOn w:val="Normal"/>
    <w:next w:val="H2Ashurst"/>
    <w:uiPriority w:val="1"/>
    <w:qFormat/>
    <w:rsid w:val="000937BC"/>
    <w:pPr>
      <w:keepNext/>
      <w:numPr>
        <w:numId w:val="41"/>
      </w:numPr>
      <w:suppressAutoHyphens/>
      <w:spacing w:after="220" w:line="264" w:lineRule="auto"/>
      <w:jc w:val="both"/>
      <w:outlineLvl w:val="0"/>
    </w:pPr>
    <w:rPr>
      <w:rFonts w:eastAsiaTheme="minorEastAsia"/>
      <w:b/>
      <w:caps/>
      <w:sz w:val="18"/>
      <w:szCs w:val="24"/>
      <w:lang w:val="en-GB" w:eastAsia="zh-TW"/>
    </w:rPr>
  </w:style>
  <w:style w:type="paragraph" w:customStyle="1" w:styleId="H2Ashurst">
    <w:name w:val="H2Ashurst"/>
    <w:basedOn w:val="Normal"/>
    <w:uiPriority w:val="1"/>
    <w:qFormat/>
    <w:rsid w:val="000937BC"/>
    <w:pPr>
      <w:numPr>
        <w:ilvl w:val="1"/>
        <w:numId w:val="41"/>
      </w:numPr>
      <w:suppressAutoHyphens/>
      <w:spacing w:after="220" w:line="264" w:lineRule="auto"/>
      <w:jc w:val="both"/>
      <w:outlineLvl w:val="1"/>
    </w:pPr>
    <w:rPr>
      <w:rFonts w:eastAsiaTheme="minorEastAsia"/>
      <w:sz w:val="18"/>
      <w:szCs w:val="24"/>
      <w:lang w:val="en-GB" w:eastAsia="zh-TW"/>
    </w:rPr>
  </w:style>
  <w:style w:type="paragraph" w:customStyle="1" w:styleId="H3Ashurst">
    <w:name w:val="H3Ashurst"/>
    <w:basedOn w:val="Normal"/>
    <w:uiPriority w:val="1"/>
    <w:qFormat/>
    <w:rsid w:val="000937BC"/>
    <w:pPr>
      <w:numPr>
        <w:ilvl w:val="2"/>
        <w:numId w:val="41"/>
      </w:numPr>
      <w:suppressAutoHyphens/>
      <w:spacing w:after="220" w:line="264" w:lineRule="auto"/>
      <w:jc w:val="both"/>
      <w:outlineLvl w:val="2"/>
    </w:pPr>
    <w:rPr>
      <w:rFonts w:eastAsiaTheme="minorEastAsia"/>
      <w:sz w:val="18"/>
      <w:szCs w:val="24"/>
      <w:lang w:val="en-GB" w:eastAsia="zh-TW"/>
    </w:rPr>
  </w:style>
  <w:style w:type="paragraph" w:customStyle="1" w:styleId="H4Ashurst">
    <w:name w:val="H4Ashurst"/>
    <w:basedOn w:val="Normal"/>
    <w:uiPriority w:val="1"/>
    <w:qFormat/>
    <w:rsid w:val="000937BC"/>
    <w:pPr>
      <w:numPr>
        <w:ilvl w:val="3"/>
        <w:numId w:val="41"/>
      </w:numPr>
      <w:suppressAutoHyphens/>
      <w:spacing w:after="220" w:line="264" w:lineRule="auto"/>
      <w:jc w:val="both"/>
      <w:outlineLvl w:val="3"/>
    </w:pPr>
    <w:rPr>
      <w:rFonts w:eastAsiaTheme="minorEastAsia"/>
      <w:sz w:val="18"/>
      <w:szCs w:val="24"/>
      <w:lang w:val="en-GB" w:eastAsia="zh-TW"/>
    </w:rPr>
  </w:style>
  <w:style w:type="paragraph" w:customStyle="1" w:styleId="H5Ashurst">
    <w:name w:val="H5Ashurst"/>
    <w:basedOn w:val="Normal"/>
    <w:uiPriority w:val="1"/>
    <w:qFormat/>
    <w:rsid w:val="000937BC"/>
    <w:pPr>
      <w:numPr>
        <w:ilvl w:val="4"/>
        <w:numId w:val="41"/>
      </w:numPr>
      <w:suppressAutoHyphens/>
      <w:spacing w:after="220" w:line="264" w:lineRule="auto"/>
      <w:jc w:val="both"/>
      <w:outlineLvl w:val="4"/>
    </w:pPr>
    <w:rPr>
      <w:rFonts w:eastAsiaTheme="minorEastAsia"/>
      <w:sz w:val="18"/>
      <w:szCs w:val="24"/>
      <w:lang w:val="en-GB" w:eastAsia="zh-TW"/>
    </w:rPr>
  </w:style>
  <w:style w:type="paragraph" w:customStyle="1" w:styleId="H6Ashurst">
    <w:name w:val="H6Ashurst"/>
    <w:basedOn w:val="Normal"/>
    <w:uiPriority w:val="38"/>
    <w:rsid w:val="000937BC"/>
    <w:pPr>
      <w:numPr>
        <w:ilvl w:val="5"/>
        <w:numId w:val="41"/>
      </w:numPr>
      <w:suppressAutoHyphens/>
      <w:spacing w:after="220" w:line="264" w:lineRule="auto"/>
      <w:jc w:val="both"/>
      <w:outlineLvl w:val="5"/>
    </w:pPr>
    <w:rPr>
      <w:rFonts w:eastAsiaTheme="minorEastAsia"/>
      <w:sz w:val="18"/>
      <w:szCs w:val="24"/>
      <w:lang w:val="en-GB" w:eastAsia="zh-TW"/>
    </w:rPr>
  </w:style>
  <w:style w:type="paragraph" w:customStyle="1" w:styleId="H7Ashurst">
    <w:name w:val="H7Ashurst"/>
    <w:basedOn w:val="Normal"/>
    <w:uiPriority w:val="38"/>
    <w:rsid w:val="000937BC"/>
    <w:pPr>
      <w:numPr>
        <w:ilvl w:val="6"/>
        <w:numId w:val="41"/>
      </w:numPr>
      <w:suppressAutoHyphens/>
      <w:spacing w:after="220" w:line="264" w:lineRule="auto"/>
      <w:jc w:val="both"/>
      <w:outlineLvl w:val="6"/>
    </w:pPr>
    <w:rPr>
      <w:rFonts w:eastAsiaTheme="minorEastAsia"/>
      <w:sz w:val="18"/>
      <w:szCs w:val="24"/>
      <w:lang w:val="en-GB" w:eastAsia="zh-TW"/>
    </w:rPr>
  </w:style>
  <w:style w:type="paragraph" w:customStyle="1" w:styleId="H8Ashurst">
    <w:name w:val="H8Ashurst"/>
    <w:basedOn w:val="Normal"/>
    <w:uiPriority w:val="38"/>
    <w:rsid w:val="000937BC"/>
    <w:pPr>
      <w:numPr>
        <w:ilvl w:val="7"/>
        <w:numId w:val="41"/>
      </w:numPr>
      <w:suppressAutoHyphens/>
      <w:spacing w:after="220" w:line="264" w:lineRule="auto"/>
      <w:jc w:val="both"/>
      <w:outlineLvl w:val="7"/>
    </w:pPr>
    <w:rPr>
      <w:rFonts w:eastAsiaTheme="minorEastAsia"/>
      <w:sz w:val="18"/>
      <w:szCs w:val="24"/>
      <w:lang w:val="en-GB" w:eastAsia="zh-TW"/>
    </w:rPr>
  </w:style>
  <w:style w:type="character" w:customStyle="1" w:styleId="acopre">
    <w:name w:val="acopre"/>
    <w:basedOn w:val="DefaultParagraphFont"/>
    <w:rsid w:val="003B78C7"/>
  </w:style>
  <w:style w:type="character" w:styleId="Emphasis">
    <w:name w:val="Emphasis"/>
    <w:basedOn w:val="DefaultParagraphFont"/>
    <w:uiPriority w:val="20"/>
    <w:qFormat/>
    <w:rsid w:val="003B78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ingle-market/public-procurement/digital/espd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pd.eis.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europa.eu/DocsRoom/documents/16002/attachments/1/translations/en/renditions/native" TargetMode="External"/><Relationship Id="rId4" Type="http://schemas.openxmlformats.org/officeDocument/2006/relationships/webSettings" Target="webSettings.xml"/><Relationship Id="rId9" Type="http://schemas.openxmlformats.org/officeDocument/2006/relationships/hyperlink" Target="https://audiovisual.ec.europa.eu/en/video/I-125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3209</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Krastiņš</dc:creator>
  <cp:keywords/>
  <dc:description/>
  <cp:lastModifiedBy>Aleksandrs Tereševs</cp:lastModifiedBy>
  <cp:revision>100</cp:revision>
  <dcterms:created xsi:type="dcterms:W3CDTF">2021-02-10T20:17:00Z</dcterms:created>
  <dcterms:modified xsi:type="dcterms:W3CDTF">2021-12-07T20:31:00Z</dcterms:modified>
</cp:coreProperties>
</file>